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A" w:rsidRPr="00F57CCA" w:rsidRDefault="007415AE" w:rsidP="00F57CCA">
      <w:pPr>
        <w:spacing w:line="360" w:lineRule="auto"/>
        <w:rPr>
          <w:rFonts w:ascii="Arial" w:hAnsi="Arial" w:cs="Arial"/>
          <w:b/>
          <w:caps/>
          <w:color w:val="003399"/>
          <w:sz w:val="24"/>
          <w:szCs w:val="24"/>
          <w:lang w:eastAsia="el-GR"/>
        </w:rPr>
      </w:pPr>
      <w:r w:rsidRPr="00F57CCA">
        <w:rPr>
          <w:rFonts w:ascii="Arial" w:hAnsi="Arial" w:cs="Arial"/>
          <w:b/>
          <w:caps/>
          <w:color w:val="003399"/>
          <w:sz w:val="24"/>
          <w:szCs w:val="24"/>
          <w:lang w:eastAsia="el-GR"/>
        </w:rPr>
        <w:t>«SUB. 7.2.10 - Αποκατάσταση του Τεμένους Ορτά στη Βέροια»</w:t>
      </w:r>
    </w:p>
    <w:p w:rsidR="00BB1FA9" w:rsidRDefault="00994D49" w:rsidP="007415AE">
      <w:pPr>
        <w:spacing w:line="360" w:lineRule="auto"/>
        <w:jc w:val="both"/>
      </w:pPr>
      <w:r w:rsidRPr="00857872">
        <w:t xml:space="preserve">Το έργο </w:t>
      </w:r>
      <w:r w:rsidR="007415AE">
        <w:t>«SUB.</w:t>
      </w:r>
      <w:r w:rsidR="007415AE">
        <w:rPr>
          <w:spacing w:val="24"/>
        </w:rPr>
        <w:t xml:space="preserve"> </w:t>
      </w:r>
      <w:r w:rsidR="007415AE">
        <w:t>7.2.10</w:t>
      </w:r>
      <w:r w:rsidR="007415AE">
        <w:rPr>
          <w:spacing w:val="25"/>
        </w:rPr>
        <w:t xml:space="preserve"> </w:t>
      </w:r>
      <w:r w:rsidR="007415AE">
        <w:t>-</w:t>
      </w:r>
      <w:r w:rsidR="007415AE">
        <w:rPr>
          <w:spacing w:val="25"/>
        </w:rPr>
        <w:t xml:space="preserve"> </w:t>
      </w:r>
      <w:r w:rsidR="007415AE">
        <w:t>Αποκατάσταση</w:t>
      </w:r>
      <w:r w:rsidR="007415AE">
        <w:rPr>
          <w:spacing w:val="21"/>
        </w:rPr>
        <w:t xml:space="preserve"> </w:t>
      </w:r>
      <w:r w:rsidR="007415AE">
        <w:t>του</w:t>
      </w:r>
      <w:bookmarkStart w:id="0" w:name="_GoBack"/>
      <w:bookmarkEnd w:id="0"/>
      <w:r w:rsidR="007415AE">
        <w:rPr>
          <w:spacing w:val="25"/>
        </w:rPr>
        <w:t xml:space="preserve"> </w:t>
      </w:r>
      <w:r w:rsidR="007415AE">
        <w:t>Τεμένους</w:t>
      </w:r>
      <w:r w:rsidR="007415AE">
        <w:rPr>
          <w:spacing w:val="23"/>
        </w:rPr>
        <w:t xml:space="preserve"> </w:t>
      </w:r>
      <w:r w:rsidR="007415AE">
        <w:t>Ορτά</w:t>
      </w:r>
      <w:r w:rsidR="007415AE">
        <w:rPr>
          <w:spacing w:val="24"/>
        </w:rPr>
        <w:t xml:space="preserve"> </w:t>
      </w:r>
      <w:r w:rsidR="007415AE">
        <w:t>στη</w:t>
      </w:r>
      <w:r w:rsidR="007415AE">
        <w:rPr>
          <w:spacing w:val="25"/>
        </w:rPr>
        <w:t xml:space="preserve"> </w:t>
      </w:r>
      <w:r w:rsidR="007415AE">
        <w:t>Βέροια»</w:t>
      </w:r>
      <w:r w:rsidR="007415AE">
        <w:rPr>
          <w:spacing w:val="-47"/>
        </w:rPr>
        <w:t xml:space="preserve">  </w:t>
      </w:r>
      <w:r w:rsidR="00BB1FA9">
        <w:t xml:space="preserve">με  κωδικό ΟΠΣ ΤΑ </w:t>
      </w:r>
      <w:r w:rsidR="007415AE">
        <w:t>5150165</w:t>
      </w:r>
      <w:r w:rsidR="00BB1FA9">
        <w:t xml:space="preserve"> 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7415AE">
        <w:t>4</w:t>
      </w:r>
      <w:r w:rsidR="00BB1FA9">
        <w:t>50.000€.</w:t>
      </w:r>
    </w:p>
    <w:p w:rsidR="007415AE" w:rsidRDefault="007415AE" w:rsidP="007415AE">
      <w:pPr>
        <w:spacing w:line="360" w:lineRule="auto"/>
        <w:jc w:val="both"/>
      </w:pPr>
      <w:r>
        <w:t>Το οθωμανικό τέμενος Ορτά (15ος αι.) βρίσκεται σ</w:t>
      </w:r>
      <w:r w:rsidR="00087666">
        <w:t>το κέντρο της Βέροιας και αντιμε</w:t>
      </w:r>
      <w:r>
        <w:t xml:space="preserve">τωπίζει σοβαρά θέματα </w:t>
      </w:r>
      <w:proofErr w:type="spellStart"/>
      <w:r>
        <w:t>ετοιμορροπίας</w:t>
      </w:r>
      <w:proofErr w:type="spellEnd"/>
      <w:r>
        <w:t>. Οι εργασίες για την αποκατάσταση του περιλαμβάνουν:</w:t>
      </w:r>
    </w:p>
    <w:p w:rsidR="007415AE" w:rsidRDefault="007415AE" w:rsidP="007415AE">
      <w:pPr>
        <w:spacing w:line="360" w:lineRule="auto"/>
        <w:jc w:val="both"/>
      </w:pPr>
      <w:r>
        <w:t>-Καθαιρέσεις αποσαθρωμένων και νεωτερικών στοιχείων (επιχρίσματα, τσιμεντοκονιάματα κα)</w:t>
      </w:r>
    </w:p>
    <w:p w:rsidR="007415AE" w:rsidRDefault="007415AE" w:rsidP="007415AE">
      <w:pPr>
        <w:spacing w:line="360" w:lineRule="auto"/>
        <w:jc w:val="both"/>
      </w:pPr>
      <w:r>
        <w:t>-Επισκευή και ενίσχυση τοιχοποιιών (</w:t>
      </w:r>
      <w:proofErr w:type="spellStart"/>
      <w:r>
        <w:t>αρμολόγηση,ενεμάτωση</w:t>
      </w:r>
      <w:proofErr w:type="spellEnd"/>
      <w:r>
        <w:t xml:space="preserve">, συρραφές, </w:t>
      </w:r>
      <w:proofErr w:type="spellStart"/>
      <w:r>
        <w:t>ανακτίσεις</w:t>
      </w:r>
      <w:proofErr w:type="spellEnd"/>
      <w:r>
        <w:t xml:space="preserve"> </w:t>
      </w:r>
      <w:proofErr w:type="spellStart"/>
      <w:r>
        <w:t>κ.α</w:t>
      </w:r>
      <w:proofErr w:type="spellEnd"/>
      <w:r>
        <w:t>)</w:t>
      </w:r>
    </w:p>
    <w:p w:rsidR="007415AE" w:rsidRDefault="007415AE" w:rsidP="007415AE">
      <w:pPr>
        <w:spacing w:line="360" w:lineRule="auto"/>
        <w:jc w:val="both"/>
      </w:pPr>
      <w:r>
        <w:t xml:space="preserve">-Δομική αποκατάσταση </w:t>
      </w:r>
      <w:proofErr w:type="spellStart"/>
      <w:r>
        <w:t>προστώνου</w:t>
      </w:r>
      <w:proofErr w:type="spellEnd"/>
      <w:r>
        <w:t xml:space="preserve"> και στέγασης του </w:t>
      </w:r>
    </w:p>
    <w:p w:rsidR="007415AE" w:rsidRDefault="007415AE" w:rsidP="007415AE">
      <w:pPr>
        <w:spacing w:line="360" w:lineRule="auto"/>
        <w:jc w:val="both"/>
      </w:pPr>
      <w:r>
        <w:t>- Τοποθέτηση περιμετρικών ελκυστήρων</w:t>
      </w:r>
    </w:p>
    <w:p w:rsidR="007415AE" w:rsidRDefault="007415AE" w:rsidP="007415AE">
      <w:pPr>
        <w:spacing w:line="360" w:lineRule="auto"/>
        <w:jc w:val="both"/>
      </w:pPr>
      <w:r>
        <w:t xml:space="preserve">-Αποκαταστάσεις: θόλου (και τελική επικάλυψη με </w:t>
      </w:r>
      <w:proofErr w:type="spellStart"/>
      <w:r>
        <w:t>μολυβδόφυλλα</w:t>
      </w:r>
      <w:proofErr w:type="spellEnd"/>
      <w:r>
        <w:t xml:space="preserve">)/ αρχικών ανοιγμάτων α στάθμης με τα μαρμάρινα </w:t>
      </w:r>
      <w:proofErr w:type="spellStart"/>
      <w:r>
        <w:t>περιθυμώματά</w:t>
      </w:r>
      <w:proofErr w:type="spellEnd"/>
      <w:r>
        <w:t xml:space="preserve"> τους και ξύλινα κουφώματα/ αρχικών ανοιγμάτων β στάθμης με μαρμάρινα διάτρητα θωράκια/ δαπέδου, διερεύνηση αρχικής στάθμης και υλικού και συμπλήρωση</w:t>
      </w:r>
    </w:p>
    <w:p w:rsidR="007415AE" w:rsidRDefault="007415AE" w:rsidP="007415AE">
      <w:pPr>
        <w:spacing w:line="360" w:lineRule="auto"/>
        <w:jc w:val="both"/>
      </w:pPr>
      <w:r>
        <w:t>-Επίχριση εσωτερικών επιφανειών</w:t>
      </w:r>
    </w:p>
    <w:p w:rsidR="007415AE" w:rsidRDefault="007415AE" w:rsidP="007415AE">
      <w:pPr>
        <w:spacing w:line="360" w:lineRule="auto"/>
        <w:jc w:val="both"/>
      </w:pPr>
      <w:r>
        <w:t>-Συντήρηση αρχαίων κονιαμάτων και αισθητική αποκατάσταση διακοσμημένων επιφανειών</w:t>
      </w:r>
    </w:p>
    <w:p w:rsidR="007415AE" w:rsidRDefault="007415AE" w:rsidP="007415AE">
      <w:pPr>
        <w:spacing w:line="360" w:lineRule="auto"/>
        <w:jc w:val="both"/>
      </w:pPr>
      <w:r>
        <w:t xml:space="preserve">- Περιμετρική </w:t>
      </w:r>
      <w:proofErr w:type="spellStart"/>
      <w:r>
        <w:t>αποχωμάτωση</w:t>
      </w:r>
      <w:proofErr w:type="spellEnd"/>
      <w:r>
        <w:t xml:space="preserve"> και διερεύνηση θεμελίων</w:t>
      </w:r>
    </w:p>
    <w:p w:rsidR="007415AE" w:rsidRDefault="007415AE" w:rsidP="007415AE">
      <w:pPr>
        <w:spacing w:line="360" w:lineRule="auto"/>
        <w:jc w:val="both"/>
      </w:pPr>
      <w:r>
        <w:t>-Αποκατάσταση μιναρέ</w:t>
      </w:r>
    </w:p>
    <w:p w:rsidR="007415AE" w:rsidRDefault="007415AE" w:rsidP="007415AE">
      <w:pPr>
        <w:spacing w:line="360" w:lineRule="auto"/>
        <w:jc w:val="both"/>
      </w:pPr>
      <w:r>
        <w:t>- Δημιουργία εποπτικού υλικού - δράσεις δημοσιότητας</w:t>
      </w:r>
    </w:p>
    <w:p w:rsidR="007415AE" w:rsidRDefault="007415AE" w:rsidP="007415AE">
      <w:pPr>
        <w:spacing w:line="360" w:lineRule="auto"/>
        <w:jc w:val="both"/>
      </w:pPr>
    </w:p>
    <w:p w:rsidR="007415AE" w:rsidRDefault="00414AC2" w:rsidP="007415AE">
      <w:pPr>
        <w:spacing w:line="360" w:lineRule="auto"/>
        <w:jc w:val="both"/>
      </w:pPr>
      <w:r w:rsidRPr="007415AE">
        <w:rPr>
          <w:noProof/>
          <w:lang w:eastAsia="el-GR"/>
        </w:rPr>
        <w:lastRenderedPageBreak/>
        <w:drawing>
          <wp:inline distT="0" distB="0" distL="0" distR="0">
            <wp:extent cx="6400800" cy="4614545"/>
            <wp:effectExtent l="0" t="0" r="0" b="0"/>
            <wp:docPr id="1" name="Εικόνα 2" descr="OR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A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F5" w:rsidRPr="002006F5" w:rsidRDefault="002006F5" w:rsidP="007415AE">
      <w:pPr>
        <w:spacing w:line="360" w:lineRule="auto"/>
        <w:jc w:val="both"/>
      </w:pPr>
    </w:p>
    <w:sectPr w:rsidR="002006F5" w:rsidRPr="002006F5" w:rsidSect="006C65C3">
      <w:headerReference w:type="default" r:id="rId8"/>
      <w:footerReference w:type="default" r:id="rId9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D8" w:rsidRDefault="00DA56D8">
      <w:r>
        <w:separator/>
      </w:r>
    </w:p>
  </w:endnote>
  <w:endnote w:type="continuationSeparator" w:id="0">
    <w:p w:rsidR="00DA56D8" w:rsidRDefault="00D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CA" w:rsidRDefault="00414AC2" w:rsidP="00F57CCA">
    <w:pPr>
      <w:pStyle w:val="a4"/>
      <w:tabs>
        <w:tab w:val="clear" w:pos="4153"/>
        <w:tab w:val="center" w:pos="2552"/>
      </w:tabs>
      <w:jc w:val="center"/>
    </w:pPr>
    <w:r w:rsidRPr="0068256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56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D8" w:rsidRDefault="00DA56D8">
      <w:r>
        <w:separator/>
      </w:r>
    </w:p>
  </w:footnote>
  <w:footnote w:type="continuationSeparator" w:id="0">
    <w:p w:rsidR="00DA56D8" w:rsidRDefault="00DA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CA" w:rsidRPr="00D86851" w:rsidRDefault="00414AC2" w:rsidP="00F57CCA">
    <w:pPr>
      <w:pStyle w:val="a3"/>
      <w:rPr>
        <w:rFonts w:ascii="Arial" w:hAnsi="Arial" w:cs="Arial"/>
        <w:noProof/>
        <w:sz w:val="20"/>
      </w:rPr>
    </w:pPr>
    <w:r w:rsidRPr="00F57CCA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5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CCA" w:rsidRPr="00D86851" w:rsidRDefault="00F57CCA" w:rsidP="00F57CCA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Γενική  Διεύθυνση  Αρχαιοτήτων </w:t>
    </w:r>
  </w:p>
  <w:p w:rsidR="00F57CCA" w:rsidRPr="00D86851" w:rsidRDefault="00F57CCA" w:rsidP="00F57CCA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 και Αθλητισμού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  <w:t>&amp; Πολιτιστικής Κληρονομιάς</w:t>
    </w:r>
  </w:p>
  <w:p w:rsidR="00F57CCA" w:rsidRPr="008D1A57" w:rsidRDefault="00F57CCA" w:rsidP="00F57CCA">
    <w:pPr>
      <w:pStyle w:val="a3"/>
      <w:jc w:val="right"/>
      <w:rPr>
        <w:rFonts w:ascii="Arial" w:hAnsi="Arial" w:cs="Arial"/>
        <w:noProof/>
        <w:sz w:val="20"/>
      </w:rPr>
    </w:pPr>
    <w:r w:rsidRPr="007F0A74">
      <w:rPr>
        <w:rFonts w:ascii="Arial" w:hAnsi="Arial" w:cs="Arial"/>
        <w:noProof/>
        <w:sz w:val="20"/>
      </w:rPr>
      <w:t>Εφορεία</w:t>
    </w:r>
    <w:r w:rsidRPr="00D0355F">
      <w:rPr>
        <w:rFonts w:ascii="Arial" w:hAnsi="Arial" w:cs="Arial"/>
        <w:noProof/>
        <w:sz w:val="20"/>
      </w:rPr>
      <w:t xml:space="preserve"> </w:t>
    </w:r>
    <w:r w:rsidRPr="007F0A74">
      <w:rPr>
        <w:rFonts w:ascii="Arial" w:hAnsi="Arial" w:cs="Arial"/>
        <w:noProof/>
        <w:sz w:val="20"/>
      </w:rPr>
      <w:t>Αρχαιοτήτων</w:t>
    </w:r>
    <w:r w:rsidRPr="00D0355F">
      <w:rPr>
        <w:rFonts w:ascii="Arial" w:hAnsi="Arial" w:cs="Arial"/>
        <w:noProof/>
        <w:sz w:val="20"/>
      </w:rPr>
      <w:t xml:space="preserve"> </w:t>
    </w:r>
    <w:r>
      <w:rPr>
        <w:rFonts w:ascii="Arial" w:hAnsi="Arial" w:cs="Arial"/>
        <w:noProof/>
        <w:sz w:val="20"/>
      </w:rPr>
      <w:t>Ημαθίας</w:t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80D02"/>
    <w:rsid w:val="00087666"/>
    <w:rsid w:val="0012444B"/>
    <w:rsid w:val="00152492"/>
    <w:rsid w:val="001638A6"/>
    <w:rsid w:val="001C63C9"/>
    <w:rsid w:val="001D301B"/>
    <w:rsid w:val="002006F5"/>
    <w:rsid w:val="00203875"/>
    <w:rsid w:val="002D6DDE"/>
    <w:rsid w:val="00340380"/>
    <w:rsid w:val="0034123A"/>
    <w:rsid w:val="00371693"/>
    <w:rsid w:val="003934A1"/>
    <w:rsid w:val="003E27A2"/>
    <w:rsid w:val="00414AC2"/>
    <w:rsid w:val="00471906"/>
    <w:rsid w:val="004861C9"/>
    <w:rsid w:val="005432AB"/>
    <w:rsid w:val="0057529B"/>
    <w:rsid w:val="00585D4F"/>
    <w:rsid w:val="00596E36"/>
    <w:rsid w:val="00625510"/>
    <w:rsid w:val="0063541E"/>
    <w:rsid w:val="006750A1"/>
    <w:rsid w:val="0068672C"/>
    <w:rsid w:val="006869C6"/>
    <w:rsid w:val="006C65C3"/>
    <w:rsid w:val="006C7B39"/>
    <w:rsid w:val="007415AE"/>
    <w:rsid w:val="00762729"/>
    <w:rsid w:val="007941C4"/>
    <w:rsid w:val="007B4777"/>
    <w:rsid w:val="007D31D3"/>
    <w:rsid w:val="00857872"/>
    <w:rsid w:val="00896A60"/>
    <w:rsid w:val="008C0343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7AD2"/>
    <w:rsid w:val="00B149D3"/>
    <w:rsid w:val="00B6008A"/>
    <w:rsid w:val="00BB1FA9"/>
    <w:rsid w:val="00C90550"/>
    <w:rsid w:val="00CE2572"/>
    <w:rsid w:val="00D00DAF"/>
    <w:rsid w:val="00D73ED2"/>
    <w:rsid w:val="00DA56D8"/>
    <w:rsid w:val="00DD69EB"/>
    <w:rsid w:val="00E01C62"/>
    <w:rsid w:val="00EB074F"/>
    <w:rsid w:val="00EC173D"/>
    <w:rsid w:val="00F35BBB"/>
    <w:rsid w:val="00F57CCA"/>
    <w:rsid w:val="00F73D59"/>
    <w:rsid w:val="00FC48AD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4394653"/>
  <w15:chartTrackingRefBased/>
  <w15:docId w15:val="{79D32483-DF6A-48EB-A767-A36B199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81A65-BB9D-4BF0-866E-50CE349D7DBD}"/>
</file>

<file path=customXml/itemProps2.xml><?xml version="1.0" encoding="utf-8"?>
<ds:datastoreItem xmlns:ds="http://schemas.openxmlformats.org/officeDocument/2006/customXml" ds:itemID="{5531D6E2-ED42-473D-A190-8EFC08679697}"/>
</file>

<file path=customXml/itemProps3.xml><?xml version="1.0" encoding="utf-8"?>
<ds:datastoreItem xmlns:ds="http://schemas.openxmlformats.org/officeDocument/2006/customXml" ds:itemID="{D414163C-B776-4D9A-B3A9-218B372D7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Thanos Giannopoulos</cp:lastModifiedBy>
  <cp:revision>2</cp:revision>
  <dcterms:created xsi:type="dcterms:W3CDTF">2022-06-30T12:03:00Z</dcterms:created>
  <dcterms:modified xsi:type="dcterms:W3CDTF">2022-06-30T12:03:00Z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