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62" w:rsidRDefault="00302A62" w:rsidP="00970689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8D099E" w:rsidRPr="00AF796D" w:rsidRDefault="00AF796D" w:rsidP="00DE5F6B">
      <w:pPr>
        <w:jc w:val="both"/>
        <w:rPr>
          <w:rFonts w:ascii="Arial" w:hAnsi="Arial" w:cs="Arial"/>
        </w:rPr>
      </w:pPr>
      <w:r w:rsidRPr="004378F7">
        <w:rPr>
          <w:rFonts w:ascii="Arial" w:hAnsi="Arial" w:cs="Arial"/>
          <w:b/>
        </w:rPr>
        <w:t xml:space="preserve">Αποκατάσταση &amp; Ανάδειξη τεμένους </w:t>
      </w:r>
      <w:proofErr w:type="spellStart"/>
      <w:r w:rsidRPr="004378F7">
        <w:rPr>
          <w:rFonts w:ascii="Arial" w:hAnsi="Arial" w:cs="Arial"/>
          <w:b/>
        </w:rPr>
        <w:t>Κουρσούμ</w:t>
      </w:r>
      <w:proofErr w:type="spellEnd"/>
      <w:r w:rsidRPr="004378F7">
        <w:rPr>
          <w:rFonts w:ascii="Arial" w:hAnsi="Arial" w:cs="Arial"/>
          <w:b/>
        </w:rPr>
        <w:t xml:space="preserve"> Καστοριάς</w:t>
      </w:r>
    </w:p>
    <w:p w:rsidR="00A32A98" w:rsidRDefault="00A32A98" w:rsidP="00153641">
      <w:pPr>
        <w:ind w:firstLine="720"/>
        <w:jc w:val="both"/>
        <w:rPr>
          <w:rFonts w:ascii="Arial" w:hAnsi="Arial" w:cs="Arial"/>
        </w:rPr>
      </w:pPr>
      <w:r w:rsidRPr="00A32A98">
        <w:rPr>
          <w:rFonts w:ascii="Arial" w:hAnsi="Arial" w:cs="Arial"/>
        </w:rPr>
        <w:t xml:space="preserve">Το </w:t>
      </w:r>
      <w:proofErr w:type="spellStart"/>
      <w:r w:rsidRPr="00A32A98">
        <w:rPr>
          <w:rFonts w:ascii="Arial" w:hAnsi="Arial" w:cs="Arial"/>
        </w:rPr>
        <w:t>Κουρσούμ</w:t>
      </w:r>
      <w:proofErr w:type="spellEnd"/>
      <w:r w:rsidRPr="00A32A98">
        <w:rPr>
          <w:rFonts w:ascii="Arial" w:hAnsi="Arial" w:cs="Arial"/>
        </w:rPr>
        <w:t xml:space="preserve"> Τζαμί, κηρυγμένο, διατηρητέο μνημείο σύμφωνα με το Π.Δ. 11-6-1925 (ΦΕΚ 152/Α/16-06-1925), βρίσκεται στο ιστορικό κέντρο της πόλης της Καστο</w:t>
      </w:r>
      <w:r w:rsidR="00594985">
        <w:rPr>
          <w:rFonts w:ascii="Arial" w:hAnsi="Arial" w:cs="Arial"/>
        </w:rPr>
        <w:t>ριάς</w:t>
      </w:r>
      <w:r w:rsidRPr="00A32A98">
        <w:rPr>
          <w:rFonts w:ascii="Arial" w:hAnsi="Arial" w:cs="Arial"/>
        </w:rPr>
        <w:t xml:space="preserve"> και αποτελείται από τον κυρίως χώρο προσευχής και το μιναρέ. Πρόκειται για </w:t>
      </w:r>
      <w:proofErr w:type="spellStart"/>
      <w:r w:rsidRPr="00A32A98">
        <w:rPr>
          <w:rFonts w:ascii="Arial" w:hAnsi="Arial" w:cs="Arial"/>
        </w:rPr>
        <w:t>μονόχωρο</w:t>
      </w:r>
      <w:proofErr w:type="spellEnd"/>
      <w:r w:rsidRPr="00A32A98">
        <w:rPr>
          <w:rFonts w:ascii="Arial" w:hAnsi="Arial" w:cs="Arial"/>
        </w:rPr>
        <w:t xml:space="preserve"> </w:t>
      </w:r>
      <w:proofErr w:type="spellStart"/>
      <w:r w:rsidRPr="00A32A98">
        <w:rPr>
          <w:rFonts w:ascii="Arial" w:hAnsi="Arial" w:cs="Arial"/>
        </w:rPr>
        <w:t>τρουλαίο</w:t>
      </w:r>
      <w:proofErr w:type="spellEnd"/>
      <w:r w:rsidRPr="00A32A98">
        <w:rPr>
          <w:rFonts w:ascii="Arial" w:hAnsi="Arial" w:cs="Arial"/>
        </w:rPr>
        <w:t xml:space="preserve"> κτίσμα, στον τύπο των επαρχιακών οθωμανικών τεμενών που συναντώνται στην Ελλάδ</w:t>
      </w:r>
      <w:r w:rsidR="00594985">
        <w:rPr>
          <w:rFonts w:ascii="Arial" w:hAnsi="Arial" w:cs="Arial"/>
        </w:rPr>
        <w:t>α και τα Βαλκάνια. Η οικοδόμηση του κτηρίου τοποθετείται</w:t>
      </w:r>
      <w:r w:rsidRPr="00A32A98">
        <w:rPr>
          <w:rFonts w:ascii="Arial" w:hAnsi="Arial" w:cs="Arial"/>
        </w:rPr>
        <w:t xml:space="preserve"> σύμφωνα με </w:t>
      </w:r>
      <w:r w:rsidR="00153641">
        <w:rPr>
          <w:rFonts w:ascii="Arial" w:hAnsi="Arial" w:cs="Arial"/>
        </w:rPr>
        <w:t xml:space="preserve">τους μελετητές </w:t>
      </w:r>
      <w:r w:rsidRPr="00A32A98">
        <w:rPr>
          <w:rFonts w:ascii="Arial" w:hAnsi="Arial" w:cs="Arial"/>
        </w:rPr>
        <w:t xml:space="preserve"> στα τέλη 15ου με αρχές 16ου αιώνα.</w:t>
      </w:r>
    </w:p>
    <w:p w:rsidR="00302A62" w:rsidRDefault="00302A62" w:rsidP="0015364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εντάχθηκε στο</w:t>
      </w:r>
      <w:r w:rsidR="00AF796D">
        <w:rPr>
          <w:rFonts w:ascii="Arial" w:hAnsi="Arial" w:cs="Arial"/>
        </w:rPr>
        <w:t xml:space="preserve"> Ταμείο Ανάκαμψης και Ανθεκτικότητας </w:t>
      </w:r>
      <w:r>
        <w:rPr>
          <w:rFonts w:ascii="Arial" w:hAnsi="Arial" w:cs="Arial"/>
        </w:rPr>
        <w:t xml:space="preserve">με προϋπολογισμό </w:t>
      </w:r>
      <w:r w:rsidR="00AF796D">
        <w:rPr>
          <w:rFonts w:ascii="Arial" w:hAnsi="Arial" w:cs="Arial"/>
        </w:rPr>
        <w:t>1.000.000,00</w:t>
      </w:r>
      <w:r w:rsidR="003A196E" w:rsidRPr="003A1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€,</w:t>
      </w:r>
      <w:r w:rsidR="00594985">
        <w:rPr>
          <w:rFonts w:ascii="Arial" w:hAnsi="Arial" w:cs="Arial"/>
        </w:rPr>
        <w:t xml:space="preserve"> με</w:t>
      </w:r>
      <w:r>
        <w:rPr>
          <w:rFonts w:ascii="Arial" w:hAnsi="Arial" w:cs="Arial"/>
        </w:rPr>
        <w:t xml:space="preserve"> χρηματοδότηση από τ</w:t>
      </w:r>
      <w:r w:rsidR="00AF796D">
        <w:rPr>
          <w:rFonts w:ascii="Arial" w:hAnsi="Arial" w:cs="Arial"/>
        </w:rPr>
        <w:t xml:space="preserve">η ΣΑΤΑ 014 </w:t>
      </w:r>
      <w:r>
        <w:rPr>
          <w:rFonts w:ascii="Arial" w:hAnsi="Arial" w:cs="Arial"/>
        </w:rPr>
        <w:t>και δικαιούχο τη</w:t>
      </w:r>
      <w:r w:rsidR="002379E0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</w:t>
      </w:r>
      <w:r w:rsidR="00E169FC" w:rsidRPr="00E169FC">
        <w:rPr>
          <w:rFonts w:ascii="Arial" w:hAnsi="Arial" w:cs="Arial"/>
        </w:rPr>
        <w:t>Εφορεία Αρχαιοτήτων Καστοριάς</w:t>
      </w:r>
      <w:r w:rsidR="00237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 ΥΠΠΟΑ.</w:t>
      </w:r>
    </w:p>
    <w:p w:rsidR="003A196E" w:rsidRPr="003A196E" w:rsidRDefault="003A196E" w:rsidP="00153641">
      <w:pPr>
        <w:ind w:firstLine="720"/>
        <w:jc w:val="both"/>
        <w:rPr>
          <w:rFonts w:ascii="Arial" w:hAnsi="Arial" w:cs="Arial"/>
          <w:color w:val="000000"/>
        </w:rPr>
      </w:pPr>
      <w:r w:rsidRPr="003A196E">
        <w:rPr>
          <w:rFonts w:ascii="Arial" w:hAnsi="Arial" w:cs="Arial"/>
          <w:color w:val="000000"/>
        </w:rPr>
        <w:t>Η Πράξη αφορά σ</w:t>
      </w:r>
      <w:r w:rsidR="002F59BC">
        <w:rPr>
          <w:rFonts w:ascii="Arial" w:hAnsi="Arial" w:cs="Arial"/>
          <w:color w:val="000000"/>
        </w:rPr>
        <w:t>ε</w:t>
      </w:r>
      <w:r w:rsidRPr="003A196E">
        <w:rPr>
          <w:rFonts w:ascii="Arial" w:hAnsi="Arial" w:cs="Arial"/>
          <w:color w:val="000000"/>
        </w:rPr>
        <w:t xml:space="preserve"> </w:t>
      </w:r>
      <w:r w:rsidR="00AF796D">
        <w:rPr>
          <w:rFonts w:ascii="Arial" w:hAnsi="Arial" w:cs="Arial"/>
          <w:color w:val="000000"/>
        </w:rPr>
        <w:t xml:space="preserve">εργασίες </w:t>
      </w:r>
      <w:r w:rsidRPr="003A196E">
        <w:rPr>
          <w:rFonts w:ascii="Arial" w:hAnsi="Arial" w:cs="Arial"/>
          <w:color w:val="000000"/>
        </w:rPr>
        <w:t>αποκατάστασης στο</w:t>
      </w:r>
      <w:r w:rsidR="00AF796D">
        <w:rPr>
          <w:rFonts w:ascii="Arial" w:hAnsi="Arial" w:cs="Arial"/>
          <w:color w:val="000000"/>
        </w:rPr>
        <w:t xml:space="preserve"> τέμενος </w:t>
      </w:r>
      <w:proofErr w:type="spellStart"/>
      <w:r w:rsidR="00AF796D">
        <w:rPr>
          <w:rFonts w:ascii="Arial" w:hAnsi="Arial" w:cs="Arial"/>
          <w:color w:val="000000"/>
        </w:rPr>
        <w:t>Κουρσούμ</w:t>
      </w:r>
      <w:proofErr w:type="spellEnd"/>
      <w:r w:rsidR="00AF796D">
        <w:rPr>
          <w:rFonts w:ascii="Arial" w:hAnsi="Arial" w:cs="Arial"/>
          <w:color w:val="000000"/>
        </w:rPr>
        <w:t xml:space="preserve"> της Καστοριάς </w:t>
      </w:r>
      <w:r w:rsidRPr="003A196E">
        <w:rPr>
          <w:rFonts w:ascii="Arial" w:hAnsi="Arial" w:cs="Arial"/>
          <w:color w:val="000000"/>
        </w:rPr>
        <w:t>σύμφωνα με τ</w:t>
      </w:r>
      <w:r w:rsidR="00AF796D">
        <w:rPr>
          <w:rFonts w:ascii="Arial" w:hAnsi="Arial" w:cs="Arial"/>
          <w:color w:val="000000"/>
        </w:rPr>
        <w:t xml:space="preserve">ην </w:t>
      </w:r>
      <w:r w:rsidRPr="003A196E">
        <w:rPr>
          <w:rFonts w:ascii="Arial" w:hAnsi="Arial" w:cs="Arial"/>
          <w:color w:val="000000"/>
        </w:rPr>
        <w:t>εγκεκριμέν</w:t>
      </w:r>
      <w:r w:rsidR="00AF796D">
        <w:rPr>
          <w:rFonts w:ascii="Arial" w:hAnsi="Arial" w:cs="Arial"/>
          <w:color w:val="000000"/>
        </w:rPr>
        <w:t>η</w:t>
      </w:r>
      <w:r w:rsidRPr="003A196E">
        <w:rPr>
          <w:rFonts w:ascii="Arial" w:hAnsi="Arial" w:cs="Arial"/>
          <w:color w:val="000000"/>
        </w:rPr>
        <w:t xml:space="preserve"> μελέτ</w:t>
      </w:r>
      <w:r w:rsidR="00AF796D">
        <w:rPr>
          <w:rFonts w:ascii="Arial" w:hAnsi="Arial" w:cs="Arial"/>
          <w:color w:val="000000"/>
        </w:rPr>
        <w:t>η</w:t>
      </w:r>
      <w:r w:rsidRPr="003A196E">
        <w:rPr>
          <w:rFonts w:ascii="Arial" w:hAnsi="Arial" w:cs="Arial"/>
          <w:color w:val="000000"/>
        </w:rPr>
        <w:t>, με παραδοτέο το μνημείο δομικά και αισθητικά αποκατεστημένο.</w:t>
      </w:r>
      <w:r w:rsidR="00AF796D">
        <w:rPr>
          <w:rFonts w:ascii="Arial" w:hAnsi="Arial" w:cs="Arial"/>
          <w:color w:val="000000"/>
        </w:rPr>
        <w:t xml:space="preserve"> Ενδεικτικά αναφέρονται εργασίες ενίσχυσης της θεμελίωσης, των τοιχοποιιών</w:t>
      </w:r>
      <w:r w:rsidR="00CE74DE">
        <w:rPr>
          <w:rFonts w:ascii="Arial" w:hAnsi="Arial" w:cs="Arial"/>
          <w:color w:val="000000"/>
        </w:rPr>
        <w:t xml:space="preserve">, </w:t>
      </w:r>
      <w:r w:rsidR="00AF796D">
        <w:rPr>
          <w:rFonts w:ascii="Arial" w:hAnsi="Arial" w:cs="Arial"/>
          <w:color w:val="000000"/>
        </w:rPr>
        <w:t>του θόλου</w:t>
      </w:r>
      <w:r w:rsidR="00CE74DE">
        <w:rPr>
          <w:rFonts w:ascii="Arial" w:hAnsi="Arial" w:cs="Arial"/>
          <w:color w:val="000000"/>
        </w:rPr>
        <w:t xml:space="preserve"> και του μιναρέ</w:t>
      </w:r>
      <w:r w:rsidR="00AF796D">
        <w:rPr>
          <w:rFonts w:ascii="Arial" w:hAnsi="Arial" w:cs="Arial"/>
          <w:color w:val="000000"/>
        </w:rPr>
        <w:t>,</w:t>
      </w:r>
      <w:r w:rsidR="00CE74DE">
        <w:rPr>
          <w:rFonts w:ascii="Arial" w:hAnsi="Arial" w:cs="Arial"/>
          <w:color w:val="000000"/>
        </w:rPr>
        <w:t xml:space="preserve"> συντήρηση των τοιχογραφιών στο εσωτερικό του, νέο δάπεδο, κου</w:t>
      </w:r>
      <w:r w:rsidR="008B72F8">
        <w:rPr>
          <w:rFonts w:ascii="Arial" w:hAnsi="Arial" w:cs="Arial"/>
          <w:color w:val="000000"/>
        </w:rPr>
        <w:t>φώματα</w:t>
      </w:r>
      <w:r w:rsidR="00CE74DE">
        <w:rPr>
          <w:rFonts w:ascii="Arial" w:hAnsi="Arial" w:cs="Arial"/>
          <w:color w:val="000000"/>
        </w:rPr>
        <w:t xml:space="preserve"> και φωτισμός του μνημείου</w:t>
      </w:r>
      <w:r w:rsidR="008B72F8">
        <w:rPr>
          <w:rFonts w:ascii="Arial" w:hAnsi="Arial" w:cs="Arial"/>
          <w:color w:val="000000"/>
        </w:rPr>
        <w:t>,</w:t>
      </w:r>
      <w:r w:rsidR="00CE74DE">
        <w:rPr>
          <w:rFonts w:ascii="Arial" w:hAnsi="Arial" w:cs="Arial"/>
          <w:color w:val="000000"/>
        </w:rPr>
        <w:t xml:space="preserve"> καθώς και ενημερωτικό υλικό για το μνημείο. </w:t>
      </w:r>
      <w:r w:rsidR="00AF796D">
        <w:rPr>
          <w:rFonts w:ascii="Arial" w:hAnsi="Arial" w:cs="Arial"/>
          <w:color w:val="000000"/>
        </w:rPr>
        <w:t xml:space="preserve"> </w:t>
      </w:r>
    </w:p>
    <w:p w:rsidR="003A196E" w:rsidRDefault="00F17291">
      <w:r w:rsidRPr="00126C4C">
        <w:rPr>
          <w:noProof/>
          <w:lang w:eastAsia="el-GR"/>
        </w:rPr>
        <w:drawing>
          <wp:inline distT="0" distB="0" distL="0" distR="0">
            <wp:extent cx="5234305" cy="3641725"/>
            <wp:effectExtent l="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6E" w:rsidRDefault="003A196E"/>
    <w:p w:rsidR="004E25E2" w:rsidRDefault="004E25E2"/>
    <w:p w:rsidR="004E25E2" w:rsidRDefault="00F17291" w:rsidP="00DF79EF">
      <w:pPr>
        <w:jc w:val="center"/>
        <w:rPr>
          <w:noProof/>
        </w:rPr>
      </w:pPr>
      <w:r w:rsidRPr="00126C4C">
        <w:rPr>
          <w:noProof/>
          <w:lang w:eastAsia="el-GR"/>
        </w:rPr>
        <w:lastRenderedPageBreak/>
        <w:drawing>
          <wp:inline distT="0" distB="0" distL="0" distR="0">
            <wp:extent cx="2853690" cy="3830955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4F" w:rsidRDefault="00F17291" w:rsidP="00DF79EF">
      <w:pPr>
        <w:jc w:val="center"/>
      </w:pPr>
      <w:r w:rsidRPr="00126C4C">
        <w:rPr>
          <w:noProof/>
          <w:lang w:eastAsia="el-GR"/>
        </w:rPr>
        <w:drawing>
          <wp:inline distT="0" distB="0" distL="0" distR="0">
            <wp:extent cx="4414520" cy="3342005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4F" w:rsidRPr="003C1917" w:rsidRDefault="007C4E4F" w:rsidP="007C4E4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C1917">
        <w:rPr>
          <w:rFonts w:ascii="Arial" w:eastAsia="Manrope-ExtraBold" w:hAnsi="Arial" w:cs="Arial"/>
          <w:b/>
          <w:bCs/>
          <w:color w:val="0033CD"/>
          <w:lang w:eastAsia="el-GR"/>
        </w:rPr>
        <w:lastRenderedPageBreak/>
        <w:t>Το έργο/δράση υλοποιείται στο πλαίσιο του Εθνικού Σχεδίου Ανάκαμψης και</w:t>
      </w:r>
      <w:r>
        <w:rPr>
          <w:rFonts w:ascii="Arial" w:eastAsia="Manrope-ExtraBold" w:hAnsi="Arial" w:cs="Arial"/>
          <w:b/>
          <w:bCs/>
          <w:color w:val="0033CD"/>
          <w:lang w:eastAsia="el-GR"/>
        </w:rPr>
        <w:t xml:space="preserve"> </w:t>
      </w:r>
      <w:r w:rsidRPr="003C1917">
        <w:rPr>
          <w:rFonts w:ascii="Arial" w:eastAsia="Manrope-ExtraBold" w:hAnsi="Arial" w:cs="Arial"/>
          <w:b/>
          <w:bCs/>
          <w:color w:val="0033CD"/>
          <w:lang w:eastAsia="el-GR"/>
        </w:rPr>
        <w:t>Ανθεκτικότητας «Ελλάδα 2.0» με τη χρηματοδότηση της Ευρωπαϊκής Ένωσης –</w:t>
      </w:r>
      <w:proofErr w:type="spellStart"/>
      <w:r w:rsidRPr="003C1917">
        <w:rPr>
          <w:rFonts w:ascii="Arial" w:eastAsia="Manrope-ExtraBold" w:hAnsi="Arial" w:cs="Arial"/>
          <w:b/>
          <w:bCs/>
          <w:color w:val="0033CD"/>
          <w:lang w:eastAsia="el-GR"/>
        </w:rPr>
        <w:t>NextGenerationEU</w:t>
      </w:r>
      <w:proofErr w:type="spellEnd"/>
      <w:r w:rsidRPr="003C1917">
        <w:rPr>
          <w:rFonts w:ascii="Arial" w:eastAsia="Manrope-ExtraBold" w:hAnsi="Arial" w:cs="Arial"/>
          <w:b/>
          <w:bCs/>
          <w:color w:val="0033CD"/>
          <w:lang w:eastAsia="el-GR"/>
        </w:rPr>
        <w:t>.</w:t>
      </w:r>
    </w:p>
    <w:p w:rsidR="00DF79EF" w:rsidRPr="007C4E4F" w:rsidRDefault="00DF79EF" w:rsidP="007C4E4F"/>
    <w:sectPr w:rsidR="00DF79EF" w:rsidRPr="007C4E4F" w:rsidSect="00E604F2">
      <w:headerReference w:type="default" r:id="rId9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CE" w:rsidRDefault="00333FCE">
      <w:r>
        <w:separator/>
      </w:r>
    </w:p>
  </w:endnote>
  <w:endnote w:type="continuationSeparator" w:id="0">
    <w:p w:rsidR="00333FCE" w:rsidRDefault="003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rope-Extra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CE" w:rsidRDefault="00333FCE">
      <w:r>
        <w:separator/>
      </w:r>
    </w:p>
  </w:footnote>
  <w:footnote w:type="continuationSeparator" w:id="0">
    <w:p w:rsidR="00333FCE" w:rsidRDefault="0033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6D" w:rsidRDefault="00F17291" w:rsidP="00AF796D">
    <w:pPr>
      <w:pStyle w:val="a3"/>
      <w:rPr>
        <w:rFonts w:ascii="Times New Roman" w:hAnsi="Times New Roman"/>
        <w:sz w:val="20"/>
        <w:szCs w:val="20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3675380</wp:posOffset>
          </wp:positionH>
          <wp:positionV relativeFrom="paragraph">
            <wp:posOffset>5715</wp:posOffset>
          </wp:positionV>
          <wp:extent cx="2362200" cy="314325"/>
          <wp:effectExtent l="0" t="0" r="0" b="0"/>
          <wp:wrapNone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96D">
      <w:t xml:space="preserve">                                                                                                                                 </w:t>
    </w:r>
  </w:p>
  <w:p w:rsidR="00BE7C3B" w:rsidRPr="000B476F" w:rsidRDefault="00BE7C3B" w:rsidP="00970689">
    <w:pPr>
      <w:pStyle w:val="a3"/>
      <w:rPr>
        <w:noProof/>
        <w:lang w:eastAsia="el-GR"/>
      </w:rPr>
    </w:pPr>
    <w:r w:rsidRPr="0063408E">
      <w:rPr>
        <w:noProof/>
        <w:lang w:eastAsia="el-GR"/>
      </w:rPr>
      <w:t xml:space="preserve">             </w:t>
    </w:r>
    <w:r w:rsidR="00F17291" w:rsidRPr="00012030">
      <w:rPr>
        <w:noProof/>
        <w:lang w:eastAsia="el-GR"/>
      </w:rPr>
      <w:drawing>
        <wp:inline distT="0" distB="0" distL="0" distR="0">
          <wp:extent cx="425450" cy="410210"/>
          <wp:effectExtent l="0" t="0" r="0" b="0"/>
          <wp:docPr id="1" name="Εικόνα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C3B" w:rsidRDefault="00BE7C3B" w:rsidP="00E604F2">
    <w:pPr>
      <w:pStyle w:val="a3"/>
      <w:tabs>
        <w:tab w:val="clear" w:pos="4153"/>
        <w:tab w:val="clear" w:pos="8306"/>
      </w:tabs>
      <w:spacing w:after="0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 w:rsidRPr="00C139D3">
      <w:rPr>
        <w:noProof/>
        <w:lang w:eastAsia="el-GR"/>
      </w:rPr>
      <w:t>Γενικ</w:t>
    </w:r>
    <w:r>
      <w:rPr>
        <w:noProof/>
        <w:lang w:eastAsia="el-GR"/>
      </w:rPr>
      <w:t xml:space="preserve">ή Διεύθυνση Αρχαιοτήτων και  </w:t>
    </w:r>
  </w:p>
  <w:p w:rsidR="00BE7C3B" w:rsidRDefault="00BE7C3B" w:rsidP="00E604F2">
    <w:pPr>
      <w:pStyle w:val="a3"/>
      <w:tabs>
        <w:tab w:val="clear" w:pos="4153"/>
        <w:tab w:val="clear" w:pos="8306"/>
      </w:tabs>
      <w:spacing w:after="0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</w:t>
    </w:r>
    <w:r>
      <w:rPr>
        <w:noProof/>
        <w:lang w:eastAsia="el-GR"/>
      </w:rPr>
      <w:tab/>
      <w:t>Πολιτιστικής Κληρονομιάς</w:t>
    </w:r>
  </w:p>
  <w:p w:rsidR="00BE7C3B" w:rsidRPr="003A196E" w:rsidRDefault="00BE7C3B" w:rsidP="002379E0">
    <w:pPr>
      <w:pStyle w:val="a3"/>
      <w:tabs>
        <w:tab w:val="clear" w:pos="4153"/>
        <w:tab w:val="clear" w:pos="8306"/>
      </w:tabs>
      <w:spacing w:after="0"/>
      <w:ind w:left="4320"/>
      <w:rPr>
        <w:noProof/>
        <w:lang w:eastAsia="el-GR"/>
      </w:rPr>
    </w:pPr>
    <w:r>
      <w:rPr>
        <w:rFonts w:cs="Arial"/>
      </w:rPr>
      <w:t xml:space="preserve">Εφορεία Αρχαιοτήτων </w:t>
    </w:r>
    <w:r w:rsidR="003A196E">
      <w:rPr>
        <w:rFonts w:cs="Arial"/>
      </w:rPr>
      <w:t>Καστοριάς</w:t>
    </w:r>
  </w:p>
  <w:p w:rsidR="00BE7C3B" w:rsidRPr="002379E0" w:rsidRDefault="00BE7C3B" w:rsidP="002379E0">
    <w:pPr>
      <w:pStyle w:val="a3"/>
      <w:tabs>
        <w:tab w:val="clear" w:pos="4153"/>
        <w:tab w:val="clear" w:pos="8306"/>
      </w:tabs>
      <w:spacing w:after="0"/>
      <w:ind w:left="3600" w:firstLine="720"/>
      <w:rPr>
        <w:b/>
        <w:noProof/>
        <w:sz w:val="18"/>
        <w:szCs w:val="18"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  <w:r>
      <w:rPr>
        <w:noProof/>
        <w:lang w:eastAsia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9"/>
    <w:rsid w:val="0000058D"/>
    <w:rsid w:val="00012030"/>
    <w:rsid w:val="00025F38"/>
    <w:rsid w:val="00045E27"/>
    <w:rsid w:val="00060642"/>
    <w:rsid w:val="00061E35"/>
    <w:rsid w:val="000A1A95"/>
    <w:rsid w:val="000B25F3"/>
    <w:rsid w:val="000B476F"/>
    <w:rsid w:val="000C1340"/>
    <w:rsid w:val="000D63A9"/>
    <w:rsid w:val="000D6445"/>
    <w:rsid w:val="000F26C1"/>
    <w:rsid w:val="00133470"/>
    <w:rsid w:val="00153641"/>
    <w:rsid w:val="00153B46"/>
    <w:rsid w:val="00157AD8"/>
    <w:rsid w:val="00187E06"/>
    <w:rsid w:val="001A3855"/>
    <w:rsid w:val="001B31EE"/>
    <w:rsid w:val="001D72A9"/>
    <w:rsid w:val="00217148"/>
    <w:rsid w:val="00236697"/>
    <w:rsid w:val="002379E0"/>
    <w:rsid w:val="00240264"/>
    <w:rsid w:val="00247EB7"/>
    <w:rsid w:val="002C1AE8"/>
    <w:rsid w:val="002D4A7B"/>
    <w:rsid w:val="002F2BF6"/>
    <w:rsid w:val="002F59BC"/>
    <w:rsid w:val="00302A62"/>
    <w:rsid w:val="00305533"/>
    <w:rsid w:val="00307AE2"/>
    <w:rsid w:val="00333FCE"/>
    <w:rsid w:val="003421ED"/>
    <w:rsid w:val="0036135A"/>
    <w:rsid w:val="00384A94"/>
    <w:rsid w:val="00393A52"/>
    <w:rsid w:val="003A196E"/>
    <w:rsid w:val="004010CB"/>
    <w:rsid w:val="004513DA"/>
    <w:rsid w:val="00451F0C"/>
    <w:rsid w:val="00455338"/>
    <w:rsid w:val="00477290"/>
    <w:rsid w:val="004817EB"/>
    <w:rsid w:val="00492B26"/>
    <w:rsid w:val="004A7FFA"/>
    <w:rsid w:val="004B6E94"/>
    <w:rsid w:val="004D5314"/>
    <w:rsid w:val="004E25E2"/>
    <w:rsid w:val="004F27D5"/>
    <w:rsid w:val="004F52AC"/>
    <w:rsid w:val="00594985"/>
    <w:rsid w:val="005979D8"/>
    <w:rsid w:val="005B7FFE"/>
    <w:rsid w:val="005C3234"/>
    <w:rsid w:val="005E4DFD"/>
    <w:rsid w:val="005E62B5"/>
    <w:rsid w:val="00625B78"/>
    <w:rsid w:val="00625E77"/>
    <w:rsid w:val="00632340"/>
    <w:rsid w:val="0063408E"/>
    <w:rsid w:val="00657858"/>
    <w:rsid w:val="00665338"/>
    <w:rsid w:val="00697484"/>
    <w:rsid w:val="006A5529"/>
    <w:rsid w:val="006D2BD1"/>
    <w:rsid w:val="006D71FA"/>
    <w:rsid w:val="006E0386"/>
    <w:rsid w:val="006E6C80"/>
    <w:rsid w:val="00710082"/>
    <w:rsid w:val="0071584A"/>
    <w:rsid w:val="00742338"/>
    <w:rsid w:val="00775D43"/>
    <w:rsid w:val="007908D7"/>
    <w:rsid w:val="007C4E4F"/>
    <w:rsid w:val="007D41C1"/>
    <w:rsid w:val="007D688E"/>
    <w:rsid w:val="007F26D5"/>
    <w:rsid w:val="008B21DE"/>
    <w:rsid w:val="008B72F8"/>
    <w:rsid w:val="008C4349"/>
    <w:rsid w:val="008D099E"/>
    <w:rsid w:val="008D55DE"/>
    <w:rsid w:val="0091037E"/>
    <w:rsid w:val="00911F8B"/>
    <w:rsid w:val="00931460"/>
    <w:rsid w:val="00970689"/>
    <w:rsid w:val="0098617A"/>
    <w:rsid w:val="009921E9"/>
    <w:rsid w:val="00A14747"/>
    <w:rsid w:val="00A32A98"/>
    <w:rsid w:val="00A32B67"/>
    <w:rsid w:val="00A402D2"/>
    <w:rsid w:val="00A41C57"/>
    <w:rsid w:val="00AD1023"/>
    <w:rsid w:val="00AD45FA"/>
    <w:rsid w:val="00AE19F3"/>
    <w:rsid w:val="00AF3C77"/>
    <w:rsid w:val="00AF692C"/>
    <w:rsid w:val="00AF796D"/>
    <w:rsid w:val="00B477D2"/>
    <w:rsid w:val="00B5692C"/>
    <w:rsid w:val="00BC160B"/>
    <w:rsid w:val="00BD06A3"/>
    <w:rsid w:val="00BD56E2"/>
    <w:rsid w:val="00BE7C3B"/>
    <w:rsid w:val="00C139D3"/>
    <w:rsid w:val="00C879F6"/>
    <w:rsid w:val="00CB27B1"/>
    <w:rsid w:val="00CD6EFC"/>
    <w:rsid w:val="00CE74DE"/>
    <w:rsid w:val="00CE7CA7"/>
    <w:rsid w:val="00D11201"/>
    <w:rsid w:val="00D24CD5"/>
    <w:rsid w:val="00D54EC3"/>
    <w:rsid w:val="00D63154"/>
    <w:rsid w:val="00D8106F"/>
    <w:rsid w:val="00D815A0"/>
    <w:rsid w:val="00D929C8"/>
    <w:rsid w:val="00D96A9B"/>
    <w:rsid w:val="00DD3A8B"/>
    <w:rsid w:val="00DD587F"/>
    <w:rsid w:val="00DE04F2"/>
    <w:rsid w:val="00DE5F6B"/>
    <w:rsid w:val="00DF79EF"/>
    <w:rsid w:val="00E1047D"/>
    <w:rsid w:val="00E169FC"/>
    <w:rsid w:val="00E412FD"/>
    <w:rsid w:val="00E604F2"/>
    <w:rsid w:val="00E66745"/>
    <w:rsid w:val="00E8302E"/>
    <w:rsid w:val="00E90152"/>
    <w:rsid w:val="00EA41CE"/>
    <w:rsid w:val="00EA7FA8"/>
    <w:rsid w:val="00EB2339"/>
    <w:rsid w:val="00EB51D8"/>
    <w:rsid w:val="00EF041E"/>
    <w:rsid w:val="00F17291"/>
    <w:rsid w:val="00F4240E"/>
    <w:rsid w:val="00F5581C"/>
    <w:rsid w:val="00F62D00"/>
    <w:rsid w:val="00FB6ECC"/>
    <w:rsid w:val="00FC5AB4"/>
    <w:rsid w:val="00FD4D74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4F0FB4-1753-487C-A10D-9CE63085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7068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06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locked/>
    <w:rsid w:val="00970689"/>
    <w:rPr>
      <w:rFonts w:ascii="Calibri" w:hAnsi="Calibri" w:cs="Times New Roman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85F2B-4D40-4A10-AA04-4331BCA6524A}"/>
</file>

<file path=customXml/itemProps2.xml><?xml version="1.0" encoding="utf-8"?>
<ds:datastoreItem xmlns:ds="http://schemas.openxmlformats.org/officeDocument/2006/customXml" ds:itemID="{93FAAD71-787D-43D7-876D-770B40B51077}"/>
</file>

<file path=customXml/itemProps3.xml><?xml version="1.0" encoding="utf-8"?>
<ds:datastoreItem xmlns:ds="http://schemas.openxmlformats.org/officeDocument/2006/customXml" ds:itemID="{2FDB1F24-772A-4069-893B-A9C62BD56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ΑΠΟΚΑΤΑΣΤΑΣΗ ΣΥΓΚΡΟΤΗΜΑΤΟΣ ΙΔΙΟΚΤΗΣΙΩΝ ΤΟΥ ΥΠΠΟΤ ΣΤΙΣ ΟΔΟΥΣ ΑΔΡΙΑΝΟΥ – ΑΡΕΩΣ - ΚΛΑΔΟΥ ΚΑΙ ΒΡΥΣΑΚΙΟΥ ΣΤΗΝ ΠΛΑΚΑ ΓΙΑ ΕΓΚΑΤΑΣΤΑΣΗ ΤΟΥ ΜΟΥΣΕΙΟΥ ΕΛΛΗΝΙΚΗΣ ΛΑΪΚΗΣ ΤΕΧΝΗΣ – Β’ ΦΑΣΗ ΕΣΠΑ 2014-2020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ΑΠΟΚΑΤΑΣΤΑΣΗ ΣΥΓΚΡΟΤΗΜΑΤΟΣ ΙΔΙΟΚΤΗΣΙΩΝ ΤΟΥ ΥΠΠΟΤ ΣΤΙΣ ΟΔΟΥΣ ΑΔΡΙΑΝΟΥ – ΑΡΕΩΣ - ΚΛΑΔΟΥ ΚΑΙ ΒΡΥΣΑΚΙΟΥ ΣΤΗΝ ΠΛΑΚΑ ΓΙΑ ΕΓΚΑΤΑΣΤΑΣΗ ΤΟΥ ΜΟΥΣΕΙΟΥ ΕΛΛΗΝΙΚΗΣ ΛΑΪΚΗΣ ΤΕΧΝΗΣ – Β’ ΦΑΣΗ ΕΣΠΑ 2014-2020</dc:title>
  <dc:subject/>
  <dc:creator>EYTOP</dc:creator>
  <cp:keywords/>
  <dc:description/>
  <cp:lastModifiedBy>Thanos Giannopoulos</cp:lastModifiedBy>
  <cp:revision>2</cp:revision>
  <dcterms:created xsi:type="dcterms:W3CDTF">2022-06-08T09:22:00Z</dcterms:created>
  <dcterms:modified xsi:type="dcterms:W3CDTF">2022-06-08T09:22:00Z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