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C3" w:rsidRPr="00204057" w:rsidRDefault="006C65C3" w:rsidP="007415AE">
      <w:pPr>
        <w:spacing w:line="360" w:lineRule="auto"/>
        <w:jc w:val="both"/>
        <w:rPr>
          <w:b/>
          <w:lang w:val="en-US"/>
        </w:rPr>
      </w:pPr>
    </w:p>
    <w:p w:rsidR="0034123A" w:rsidRDefault="00626FE1" w:rsidP="00DE3607">
      <w:pPr>
        <w:spacing w:before="120" w:after="0" w:line="360" w:lineRule="auto"/>
        <w:jc w:val="both"/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</w:pPr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“</w:t>
      </w:r>
      <w:r w:rsidR="00DE3607" w:rsidRPr="00DE3607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SUB. 7.2.4 - Θεσσαλονίκη: Ανάδειξη του μνημειακού συνόλου της Ροτόντας (Μνημείο</w:t>
      </w:r>
      <w:r w:rsidR="00DE3607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 xml:space="preserve"> </w:t>
      </w:r>
      <w:r w:rsidR="00DE3607" w:rsidRPr="00DE3607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UNESCO) - Προστασία κελύφους και διαμόρφωση περιβάλλοντος χώρου</w:t>
      </w:r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”</w:t>
      </w:r>
    </w:p>
    <w:p w:rsidR="00626FE1" w:rsidRPr="00626FE1" w:rsidRDefault="00626FE1" w:rsidP="00626FE1">
      <w:pPr>
        <w:spacing w:before="120" w:after="0" w:line="360" w:lineRule="auto"/>
        <w:jc w:val="both"/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</w:pPr>
    </w:p>
    <w:p w:rsidR="00BB1FA9" w:rsidRDefault="00994D49" w:rsidP="00DE3607">
      <w:pPr>
        <w:spacing w:line="360" w:lineRule="auto"/>
        <w:jc w:val="both"/>
      </w:pPr>
      <w:r w:rsidRPr="00857872">
        <w:t xml:space="preserve">Το έργο </w:t>
      </w:r>
      <w:r w:rsidR="00073BE7">
        <w:t>«</w:t>
      </w:r>
      <w:r w:rsidR="00DE3607">
        <w:t>SUB. 7.2.4 - Θεσσαλονίκη: Ανάδειξη του μνημειακού συνόλου της Ροτόντας (Μνημείο</w:t>
      </w:r>
      <w:r w:rsidR="00DE3607">
        <w:t xml:space="preserve"> </w:t>
      </w:r>
      <w:r w:rsidR="00DE3607">
        <w:t>UNESCO) - Προστασία κελύφους και διαμόρφωση περιβάλλοντος χώρου</w:t>
      </w:r>
      <w:r w:rsidR="00153C25">
        <w:t>»</w:t>
      </w:r>
      <w:r w:rsidR="00073BE7">
        <w:t xml:space="preserve"> με κωδικό ΟΠΣ ΤΑ </w:t>
      </w:r>
      <w:r w:rsidR="00B01FA8">
        <w:t>5150</w:t>
      </w:r>
      <w:r w:rsidR="00DE3607">
        <w:t>256</w:t>
      </w:r>
      <w:r w:rsidR="00073BE7">
        <w:t xml:space="preserve"> </w:t>
      </w:r>
      <w:r w:rsidR="00BB1FA9">
        <w:t xml:space="preserve">έχει ενταχθεί στο Ταμείο Ανάκαμψης και Ανθεκτικότητας, το οποίο χρηματοδοτείται από την Ευρωπαϊκή Ένωση – </w:t>
      </w:r>
      <w:proofErr w:type="spellStart"/>
      <w:r w:rsidR="00BB1FA9">
        <w:t>NextGeneration</w:t>
      </w:r>
      <w:proofErr w:type="spellEnd"/>
      <w:r w:rsidR="00BB1FA9">
        <w:t xml:space="preserve"> EU, με συνολική δημόσια δαπάνη ύψους </w:t>
      </w:r>
      <w:r w:rsidR="00DE3607">
        <w:t>5</w:t>
      </w:r>
      <w:bookmarkStart w:id="0" w:name="_GoBack"/>
      <w:bookmarkEnd w:id="0"/>
      <w:r w:rsidR="00F52E71">
        <w:t>5</w:t>
      </w:r>
      <w:r w:rsidR="00BA5B47">
        <w:t>0.000</w:t>
      </w:r>
      <w:r w:rsidR="00BB1FA9">
        <w:t>€.</w:t>
      </w:r>
    </w:p>
    <w:p w:rsidR="00DE3607" w:rsidRDefault="00DE3607" w:rsidP="00DE3607">
      <w:pPr>
        <w:spacing w:before="120" w:after="0" w:line="360" w:lineRule="auto"/>
        <w:jc w:val="both"/>
      </w:pPr>
      <w:r>
        <w:t>το φυσικό αντικείμενου του έργου περιλαμβάνει:</w:t>
      </w:r>
    </w:p>
    <w:p w:rsidR="00DE3607" w:rsidRDefault="00DE3607" w:rsidP="00DE3607">
      <w:pPr>
        <w:spacing w:before="120" w:after="0" w:line="360" w:lineRule="auto"/>
        <w:jc w:val="both"/>
      </w:pPr>
      <w:r>
        <w:t>1. Εκπόνηση μελετών:</w:t>
      </w:r>
    </w:p>
    <w:p w:rsidR="00DE3607" w:rsidRDefault="00DE3607" w:rsidP="00DE3607">
      <w:pPr>
        <w:spacing w:before="120" w:after="0" w:line="360" w:lineRule="auto"/>
        <w:jc w:val="both"/>
      </w:pPr>
      <w:r>
        <w:t>1.1. Μελέτης εφαρμογής αποκατάστασης βλαβών στο φέροντα οργανισμό</w:t>
      </w:r>
    </w:p>
    <w:p w:rsidR="00DE3607" w:rsidRDefault="00DE3607" w:rsidP="00DE3607">
      <w:pPr>
        <w:spacing w:before="120" w:after="0" w:line="360" w:lineRule="auto"/>
        <w:jc w:val="both"/>
      </w:pPr>
      <w:r>
        <w:t>1.2. Έλεγχος βαθμού προέντασης τενόντων του μνημείου</w:t>
      </w:r>
      <w:r>
        <w:t xml:space="preserve"> </w:t>
      </w:r>
    </w:p>
    <w:p w:rsidR="00DE3607" w:rsidRDefault="00DE3607" w:rsidP="00DE3607">
      <w:pPr>
        <w:spacing w:before="120" w:after="0" w:line="360" w:lineRule="auto"/>
        <w:jc w:val="both"/>
      </w:pPr>
      <w:r>
        <w:t>1.3. Προσδιορισμός θεμελιωδών ιδιοπεριόδων του μνημείου.</w:t>
      </w:r>
    </w:p>
    <w:p w:rsidR="00DE3607" w:rsidRDefault="00DE3607" w:rsidP="00DE3607">
      <w:pPr>
        <w:spacing w:before="120" w:after="0" w:line="360" w:lineRule="auto"/>
        <w:jc w:val="both"/>
      </w:pPr>
      <w:r>
        <w:t xml:space="preserve">1.4. </w:t>
      </w:r>
      <w:proofErr w:type="spellStart"/>
      <w:r>
        <w:t>Aνάλυση</w:t>
      </w:r>
      <w:proofErr w:type="spellEnd"/>
      <w:r>
        <w:t xml:space="preserve"> υλικών δομή</w:t>
      </w:r>
      <w:r>
        <w:t xml:space="preserve">ς - έλεγχος βαθμού </w:t>
      </w:r>
      <w:proofErr w:type="spellStart"/>
      <w:r>
        <w:t>ενεματώσεων</w:t>
      </w:r>
      <w:proofErr w:type="spellEnd"/>
      <w:r>
        <w:t xml:space="preserve"> </w:t>
      </w:r>
    </w:p>
    <w:p w:rsidR="00DE3607" w:rsidRDefault="00DE3607" w:rsidP="00DE3607">
      <w:pPr>
        <w:spacing w:before="120" w:after="0" w:line="360" w:lineRule="auto"/>
        <w:jc w:val="both"/>
      </w:pPr>
      <w:r>
        <w:t>2. Εργασίες για την αποκατάσταση του μνημείου, του περιβάλλοντος χώρου και του περιβόλου του, στο πλαίσιο των οποίων προβλέπονται τα παρακάτω:</w:t>
      </w:r>
    </w:p>
    <w:p w:rsidR="00DE3607" w:rsidRDefault="00DE3607" w:rsidP="00DE3607">
      <w:pPr>
        <w:spacing w:before="120" w:after="0" w:line="360" w:lineRule="auto"/>
        <w:jc w:val="both"/>
      </w:pPr>
      <w:r>
        <w:t>2.1. Εξειδικευμένες επεμβάσεις συντήρησης και αποκατάστασης βλαβών στο φέροντα οργανισμό (τοιχοποιίες, μεταλλικά στοιχεία).</w:t>
      </w:r>
    </w:p>
    <w:p w:rsidR="00DE3607" w:rsidRDefault="00DE3607" w:rsidP="00DE3607">
      <w:pPr>
        <w:spacing w:before="120" w:after="0" w:line="360" w:lineRule="auto"/>
        <w:jc w:val="both"/>
      </w:pPr>
      <w:r>
        <w:t>2.2. Αποκατάσταση ευάλωτων περιοχών στέγης.</w:t>
      </w:r>
    </w:p>
    <w:p w:rsidR="00DE3607" w:rsidRDefault="00DE3607" w:rsidP="00DE3607">
      <w:pPr>
        <w:spacing w:before="120" w:after="0" w:line="360" w:lineRule="auto"/>
        <w:jc w:val="both"/>
      </w:pPr>
      <w:r>
        <w:t>2.3. Καθαρισμός και συντήρηση των εξωτερικών τοιχοποιιών του μνημείου από περιβαλλοντικούς ρύπους &amp; υγρασία, με στόχο την ελαχιστοποίηση των επιπτώσεων</w:t>
      </w:r>
      <w:r>
        <w:t xml:space="preserve"> </w:t>
      </w:r>
      <w:r>
        <w:t>κλιματικών και περιβαλλοντικών παραμέτρων που επιταχύνουν την φθορά των υλικών στις όψεις/κέλυφος.</w:t>
      </w:r>
    </w:p>
    <w:p w:rsidR="00DE3607" w:rsidRDefault="00DE3607" w:rsidP="00DE3607">
      <w:pPr>
        <w:spacing w:before="120" w:after="0" w:line="360" w:lineRule="auto"/>
        <w:jc w:val="both"/>
      </w:pPr>
      <w:r>
        <w:t xml:space="preserve">2.4. Συντήρηση των εσωτερικών δαπέδων του μνημείου, του περιδρόμου και των </w:t>
      </w:r>
      <w:proofErr w:type="spellStart"/>
      <w:r>
        <w:t>προσκτισμάτων</w:t>
      </w:r>
      <w:proofErr w:type="spellEnd"/>
      <w:r>
        <w:t xml:space="preserve"> του αρχαιολογικού χώρου.</w:t>
      </w:r>
    </w:p>
    <w:p w:rsidR="00DE3607" w:rsidRDefault="00DE3607" w:rsidP="00DE3607">
      <w:pPr>
        <w:spacing w:before="120" w:after="0" w:line="360" w:lineRule="auto"/>
        <w:jc w:val="both"/>
      </w:pPr>
      <w:r>
        <w:t>2.5. Συντήρηση των μαρμάρινων αρχιτεκτονικών μελών του μνημείου και του αρχαιολογικού χώρου.</w:t>
      </w:r>
    </w:p>
    <w:p w:rsidR="00DE3607" w:rsidRDefault="00DE3607" w:rsidP="00DE3607">
      <w:pPr>
        <w:spacing w:before="120" w:after="0" w:line="360" w:lineRule="auto"/>
        <w:jc w:val="both"/>
      </w:pPr>
      <w:r>
        <w:t>2.6. Συντήρηση των μεταλλικών στοιχείων του μνημειακού συνόλου (θύρες, κιγκλιδώματα κ.ά.).</w:t>
      </w:r>
    </w:p>
    <w:p w:rsidR="00DE3607" w:rsidRDefault="00DE3607" w:rsidP="00DE3607">
      <w:pPr>
        <w:spacing w:before="120" w:after="0" w:line="360" w:lineRule="auto"/>
        <w:jc w:val="both"/>
      </w:pPr>
      <w:r>
        <w:lastRenderedPageBreak/>
        <w:t>3. Αναδιαμόρφωση του ΝΑ τμήματος του περιδρόμου της Ροτόντας προς ανάδειξη του μνημειακού συνόλου:</w:t>
      </w:r>
    </w:p>
    <w:p w:rsidR="00DE3607" w:rsidRDefault="00DE3607" w:rsidP="00DE3607">
      <w:pPr>
        <w:spacing w:before="120" w:after="0" w:line="360" w:lineRule="auto"/>
        <w:jc w:val="both"/>
      </w:pPr>
      <w:r>
        <w:t xml:space="preserve">3.1. Απομάκρυνση των </w:t>
      </w:r>
      <w:proofErr w:type="spellStart"/>
      <w:r>
        <w:t>επιχώσεων</w:t>
      </w:r>
      <w:proofErr w:type="spellEnd"/>
      <w:r>
        <w:t xml:space="preserve"> - προϊόντων προγενέστερων ανασκαφών και εργασιών από το τμήμα του </w:t>
      </w:r>
      <w:proofErr w:type="spellStart"/>
      <w:r>
        <w:t>πρωτοβυζαντινού</w:t>
      </w:r>
      <w:proofErr w:type="spellEnd"/>
      <w:r>
        <w:t xml:space="preserve"> περιδρόμου, εξωτερικά του μνημείου</w:t>
      </w:r>
      <w:r>
        <w:t xml:space="preserve"> </w:t>
      </w:r>
      <w:r>
        <w:t>στα νότια.</w:t>
      </w:r>
    </w:p>
    <w:p w:rsidR="00DE3607" w:rsidRDefault="00DE3607" w:rsidP="00DE3607">
      <w:pPr>
        <w:spacing w:before="120" w:after="0" w:line="360" w:lineRule="auto"/>
        <w:jc w:val="both"/>
      </w:pPr>
      <w:r>
        <w:t>3.2. Αντιμετώπιση του προβλήματος της υγρασίας στην ΝΑ κόγχη, τοπικά και πιλοτικά, με στόχο την συνολική επίλυση της εμμένουσας υγρασίας στα δομικά στοιχεία</w:t>
      </w:r>
      <w:r>
        <w:t xml:space="preserve"> </w:t>
      </w:r>
      <w:r>
        <w:t>του μνημείου.</w:t>
      </w:r>
    </w:p>
    <w:p w:rsidR="00DE3607" w:rsidRDefault="00DE3607" w:rsidP="00DE3607">
      <w:pPr>
        <w:spacing w:before="120" w:after="0" w:line="360" w:lineRule="auto"/>
        <w:jc w:val="both"/>
      </w:pPr>
      <w:r>
        <w:t xml:space="preserve">3.3. Κατασκευή αποστραγγιστικής τάφρου, απομάκρυνση των </w:t>
      </w:r>
      <w:proofErr w:type="spellStart"/>
      <w:r>
        <w:t>ομβρίων</w:t>
      </w:r>
      <w:proofErr w:type="spellEnd"/>
      <w:r>
        <w:t xml:space="preserve"> από το μνημείο και διαμόρφωση δικτύου αποχέτευσης στον περιβάλλοντα χώρο.</w:t>
      </w:r>
    </w:p>
    <w:p w:rsidR="00DE3607" w:rsidRDefault="00DE3607" w:rsidP="00DE3607">
      <w:pPr>
        <w:spacing w:before="120" w:after="0" w:line="360" w:lineRule="auto"/>
        <w:jc w:val="both"/>
      </w:pPr>
      <w:r>
        <w:t>4. Ενημέρωση-πληροφόρηση:</w:t>
      </w:r>
    </w:p>
    <w:p w:rsidR="00DE3607" w:rsidRDefault="00DE3607" w:rsidP="00DE3607">
      <w:pPr>
        <w:spacing w:before="120" w:after="0" w:line="360" w:lineRule="auto"/>
        <w:jc w:val="both"/>
      </w:pPr>
      <w:r>
        <w:t>4.1. Σχεδιασμός και τοποθέτηση ενημερωτικών πινακίδων.</w:t>
      </w:r>
    </w:p>
    <w:p w:rsidR="00626FE1" w:rsidRPr="00626FE1" w:rsidRDefault="00626FE1" w:rsidP="00DE3607">
      <w:pPr>
        <w:spacing w:before="120" w:after="0" w:line="360" w:lineRule="auto"/>
        <w:jc w:val="both"/>
        <w:rPr>
          <w:rFonts w:ascii="Arial" w:hAnsi="Arial" w:cs="Arial"/>
          <w:color w:val="003399"/>
          <w:sz w:val="24"/>
          <w:szCs w:val="24"/>
          <w:lang w:eastAsia="el-GR"/>
        </w:rPr>
      </w:pPr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 xml:space="preserve">Το έργο/δράση υλοποιείται στο πλαίσιο του Εθνικού Σχεδίου Ανάκαμψης και Ανθεκτικότητας «Ελλάδα 2.0» με τη χρηματοδότηση της Ευρωπαϊκής Ένωσης – </w:t>
      </w:r>
      <w:proofErr w:type="spellStart"/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val="en-GB" w:eastAsia="el-GR"/>
        </w:rPr>
        <w:t>NextGenerationEU</w:t>
      </w:r>
      <w:proofErr w:type="spellEnd"/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.</w:t>
      </w:r>
    </w:p>
    <w:p w:rsidR="002006F5" w:rsidRDefault="002006F5" w:rsidP="007415AE">
      <w:pPr>
        <w:spacing w:line="360" w:lineRule="auto"/>
        <w:jc w:val="both"/>
      </w:pPr>
    </w:p>
    <w:p w:rsidR="00073BE7" w:rsidRDefault="00073BE7" w:rsidP="007415AE">
      <w:pPr>
        <w:spacing w:line="360" w:lineRule="auto"/>
        <w:jc w:val="both"/>
      </w:pPr>
    </w:p>
    <w:p w:rsidR="00073BE7" w:rsidRDefault="00073BE7" w:rsidP="007415AE">
      <w:pPr>
        <w:spacing w:line="360" w:lineRule="auto"/>
        <w:jc w:val="both"/>
      </w:pPr>
    </w:p>
    <w:p w:rsidR="00073BE7" w:rsidRDefault="00073BE7" w:rsidP="007415AE">
      <w:pPr>
        <w:spacing w:line="360" w:lineRule="auto"/>
        <w:jc w:val="both"/>
      </w:pPr>
    </w:p>
    <w:sectPr w:rsidR="00073BE7" w:rsidSect="006C65C3">
      <w:headerReference w:type="default" r:id="rId10"/>
      <w:footerReference w:type="default" r:id="rId11"/>
      <w:pgSz w:w="11906" w:h="16838"/>
      <w:pgMar w:top="426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6E" w:rsidRDefault="004C3C6E">
      <w:r>
        <w:separator/>
      </w:r>
    </w:p>
  </w:endnote>
  <w:endnote w:type="continuationSeparator" w:id="0">
    <w:p w:rsidR="004C3C6E" w:rsidRDefault="004C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11" w:rsidRDefault="004A0E9D" w:rsidP="00D63611">
    <w:pPr>
      <w:pStyle w:val="a4"/>
      <w:tabs>
        <w:tab w:val="clear" w:pos="4153"/>
        <w:tab w:val="center" w:pos="2552"/>
      </w:tabs>
      <w:jc w:val="center"/>
    </w:pPr>
    <w:r w:rsidRPr="00D1495D">
      <w:rPr>
        <w:noProof/>
        <w:lang w:eastAsia="el-GR"/>
      </w:rPr>
      <w:drawing>
        <wp:inline distT="0" distB="0" distL="0" distR="0">
          <wp:extent cx="1392555" cy="425450"/>
          <wp:effectExtent l="0" t="0" r="0" b="0"/>
          <wp:docPr id="10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495D">
      <w:rPr>
        <w:noProof/>
        <w:lang w:eastAsia="el-GR"/>
      </w:rPr>
      <w:drawing>
        <wp:inline distT="0" distB="0" distL="0" distR="0">
          <wp:extent cx="2254250" cy="414655"/>
          <wp:effectExtent l="0" t="0" r="0" b="0"/>
          <wp:docPr id="9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6E" w:rsidRDefault="004C3C6E">
      <w:r>
        <w:separator/>
      </w:r>
    </w:p>
  </w:footnote>
  <w:footnote w:type="continuationSeparator" w:id="0">
    <w:p w:rsidR="004C3C6E" w:rsidRDefault="004C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11" w:rsidRPr="00D86851" w:rsidRDefault="004A0E9D" w:rsidP="00D63611">
    <w:pPr>
      <w:pStyle w:val="a3"/>
      <w:rPr>
        <w:rFonts w:ascii="Arial" w:hAnsi="Arial" w:cs="Arial"/>
        <w:noProof/>
        <w:sz w:val="20"/>
      </w:rPr>
    </w:pPr>
    <w:r w:rsidRPr="00D63611">
      <w:rPr>
        <w:rFonts w:ascii="Arial" w:hAnsi="Arial" w:cs="Arial"/>
        <w:noProof/>
        <w:sz w:val="20"/>
        <w:lang w:eastAsia="el-GR"/>
      </w:rPr>
      <w:drawing>
        <wp:inline distT="0" distB="0" distL="0" distR="0">
          <wp:extent cx="467995" cy="436245"/>
          <wp:effectExtent l="0" t="0" r="0" b="0"/>
          <wp:docPr id="7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611" w:rsidRPr="00D86851" w:rsidRDefault="00D63611" w:rsidP="00D63611">
    <w:pPr>
      <w:pStyle w:val="a3"/>
      <w:tabs>
        <w:tab w:val="clear" w:pos="8306"/>
        <w:tab w:val="right" w:pos="9072"/>
      </w:tabs>
      <w:rPr>
        <w:rFonts w:ascii="Arial" w:hAnsi="Arial" w:cs="Arial"/>
        <w:noProof/>
        <w:sz w:val="20"/>
      </w:rPr>
    </w:pPr>
    <w:r w:rsidRPr="00D86851">
      <w:rPr>
        <w:rFonts w:ascii="Arial" w:hAnsi="Arial" w:cs="Arial"/>
        <w:noProof/>
        <w:sz w:val="20"/>
      </w:rPr>
      <w:t xml:space="preserve">ΕΛΛΗΝΙΚΗ ΔΗΜΟΚΡΑΤΙΑ </w:t>
    </w:r>
    <w:r w:rsidRPr="00D86851">
      <w:rPr>
        <w:rFonts w:ascii="Arial" w:hAnsi="Arial" w:cs="Arial"/>
        <w:noProof/>
        <w:sz w:val="20"/>
      </w:rPr>
      <w:tab/>
    </w:r>
    <w:r w:rsidRPr="00D86851">
      <w:rPr>
        <w:rFonts w:ascii="Arial" w:hAnsi="Arial" w:cs="Arial"/>
        <w:noProof/>
        <w:sz w:val="20"/>
      </w:rPr>
      <w:tab/>
      <w:t xml:space="preserve"> </w:t>
    </w:r>
  </w:p>
  <w:p w:rsidR="00D63611" w:rsidRDefault="00D63611" w:rsidP="00D63611">
    <w:pPr>
      <w:pStyle w:val="a3"/>
      <w:tabs>
        <w:tab w:val="clear" w:pos="8306"/>
        <w:tab w:val="right" w:pos="9072"/>
      </w:tabs>
      <w:rPr>
        <w:rFonts w:ascii="Arial" w:hAnsi="Arial" w:cs="Arial"/>
        <w:noProof/>
        <w:sz w:val="20"/>
      </w:rPr>
    </w:pPr>
    <w:r w:rsidRPr="00D86851">
      <w:rPr>
        <w:rFonts w:ascii="Arial" w:hAnsi="Arial" w:cs="Arial"/>
        <w:noProof/>
        <w:sz w:val="20"/>
      </w:rPr>
      <w:t>Υπουργείο Πολιτισμού</w:t>
    </w:r>
    <w:r w:rsidRPr="00D86851">
      <w:rPr>
        <w:rFonts w:ascii="Arial" w:hAnsi="Arial" w:cs="Arial"/>
        <w:noProof/>
        <w:sz w:val="20"/>
      </w:rPr>
      <w:tab/>
      <w:t xml:space="preserve"> </w:t>
    </w:r>
    <w:r w:rsidRPr="00D86851">
      <w:rPr>
        <w:rFonts w:ascii="Arial" w:hAnsi="Arial" w:cs="Arial"/>
        <w:noProof/>
        <w:sz w:val="20"/>
      </w:rPr>
      <w:tab/>
    </w:r>
  </w:p>
  <w:p w:rsidR="0034123A" w:rsidRDefault="003412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26B"/>
    <w:multiLevelType w:val="hybridMultilevel"/>
    <w:tmpl w:val="1BAE44F6"/>
    <w:lvl w:ilvl="0" w:tplc="7B9C79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53F77"/>
    <w:multiLevelType w:val="hybridMultilevel"/>
    <w:tmpl w:val="F7E480D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7F9A"/>
    <w:multiLevelType w:val="multilevel"/>
    <w:tmpl w:val="2F3A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738C9"/>
    <w:multiLevelType w:val="hybridMultilevel"/>
    <w:tmpl w:val="7898F600"/>
    <w:lvl w:ilvl="0" w:tplc="91DE5E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214B4"/>
    <w:multiLevelType w:val="hybridMultilevel"/>
    <w:tmpl w:val="CE7C0A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2545C8"/>
    <w:multiLevelType w:val="hybridMultilevel"/>
    <w:tmpl w:val="AEA0E6CA"/>
    <w:lvl w:ilvl="0" w:tplc="7B9C791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F30F74"/>
    <w:multiLevelType w:val="hybridMultilevel"/>
    <w:tmpl w:val="6A64E250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93"/>
    <w:rsid w:val="00073BE7"/>
    <w:rsid w:val="00080D02"/>
    <w:rsid w:val="00087666"/>
    <w:rsid w:val="0012444B"/>
    <w:rsid w:val="00152492"/>
    <w:rsid w:val="00153C25"/>
    <w:rsid w:val="001638A6"/>
    <w:rsid w:val="001A2E97"/>
    <w:rsid w:val="001C63C9"/>
    <w:rsid w:val="001D301B"/>
    <w:rsid w:val="002006F5"/>
    <w:rsid w:val="00203875"/>
    <w:rsid w:val="00204057"/>
    <w:rsid w:val="002D6DDE"/>
    <w:rsid w:val="00340380"/>
    <w:rsid w:val="0034123A"/>
    <w:rsid w:val="00371693"/>
    <w:rsid w:val="003934A1"/>
    <w:rsid w:val="003E27A2"/>
    <w:rsid w:val="003E3E45"/>
    <w:rsid w:val="00471906"/>
    <w:rsid w:val="004861C9"/>
    <w:rsid w:val="004A0E9D"/>
    <w:rsid w:val="004C3C6E"/>
    <w:rsid w:val="005432AB"/>
    <w:rsid w:val="00572E57"/>
    <w:rsid w:val="0057529B"/>
    <w:rsid w:val="00585D4F"/>
    <w:rsid w:val="00596E36"/>
    <w:rsid w:val="005D6129"/>
    <w:rsid w:val="005E441D"/>
    <w:rsid w:val="005E48F3"/>
    <w:rsid w:val="00625510"/>
    <w:rsid w:val="00626FE1"/>
    <w:rsid w:val="0063541E"/>
    <w:rsid w:val="006750A1"/>
    <w:rsid w:val="0068672C"/>
    <w:rsid w:val="006869C6"/>
    <w:rsid w:val="006C65C3"/>
    <w:rsid w:val="006C7B39"/>
    <w:rsid w:val="007415AE"/>
    <w:rsid w:val="00746E00"/>
    <w:rsid w:val="00762729"/>
    <w:rsid w:val="007941C4"/>
    <w:rsid w:val="007B4777"/>
    <w:rsid w:val="007D31D3"/>
    <w:rsid w:val="00857872"/>
    <w:rsid w:val="00896A60"/>
    <w:rsid w:val="008C0343"/>
    <w:rsid w:val="008C079B"/>
    <w:rsid w:val="008C23D4"/>
    <w:rsid w:val="00933093"/>
    <w:rsid w:val="00977B72"/>
    <w:rsid w:val="0098345A"/>
    <w:rsid w:val="00987490"/>
    <w:rsid w:val="00994D49"/>
    <w:rsid w:val="00A32C2F"/>
    <w:rsid w:val="00A43AEA"/>
    <w:rsid w:val="00A70213"/>
    <w:rsid w:val="00A925A7"/>
    <w:rsid w:val="00AB7592"/>
    <w:rsid w:val="00AE264B"/>
    <w:rsid w:val="00B01FA8"/>
    <w:rsid w:val="00B07AD2"/>
    <w:rsid w:val="00B149D3"/>
    <w:rsid w:val="00B479D0"/>
    <w:rsid w:val="00B6008A"/>
    <w:rsid w:val="00B7059A"/>
    <w:rsid w:val="00BA5B47"/>
    <w:rsid w:val="00BB1FA9"/>
    <w:rsid w:val="00BC75A0"/>
    <w:rsid w:val="00C005DB"/>
    <w:rsid w:val="00C90550"/>
    <w:rsid w:val="00CE2572"/>
    <w:rsid w:val="00CE7BB8"/>
    <w:rsid w:val="00D00DAF"/>
    <w:rsid w:val="00D52580"/>
    <w:rsid w:val="00D63611"/>
    <w:rsid w:val="00D73ED2"/>
    <w:rsid w:val="00DA56D8"/>
    <w:rsid w:val="00DD69EB"/>
    <w:rsid w:val="00DE3607"/>
    <w:rsid w:val="00E01C62"/>
    <w:rsid w:val="00EB074F"/>
    <w:rsid w:val="00EC173D"/>
    <w:rsid w:val="00F3184E"/>
    <w:rsid w:val="00F35BBB"/>
    <w:rsid w:val="00F52E71"/>
    <w:rsid w:val="00F73D59"/>
    <w:rsid w:val="00FC48AD"/>
    <w:rsid w:val="00FE4D89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5C50478F"/>
  <w15:chartTrackingRefBased/>
  <w15:docId w15:val="{8C2EBD3F-D6B3-4A96-A787-6991F1FE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69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1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3"/>
    <w:locked/>
    <w:rsid w:val="00371693"/>
    <w:rPr>
      <w:rFonts w:ascii="Calibri" w:hAnsi="Calibri"/>
      <w:sz w:val="22"/>
      <w:szCs w:val="22"/>
      <w:lang w:val="el-GR" w:eastAsia="en-US" w:bidi="ar-SA"/>
    </w:rPr>
  </w:style>
  <w:style w:type="paragraph" w:styleId="a4">
    <w:name w:val="footer"/>
    <w:basedOn w:val="a"/>
    <w:link w:val="Char0"/>
    <w:uiPriority w:val="99"/>
    <w:rsid w:val="00371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4"/>
    <w:uiPriority w:val="99"/>
    <w:locked/>
    <w:rsid w:val="00371693"/>
    <w:rPr>
      <w:rFonts w:ascii="Calibri" w:hAnsi="Calibri"/>
      <w:sz w:val="22"/>
      <w:szCs w:val="22"/>
      <w:lang w:val="el-GR" w:eastAsia="en-US" w:bidi="ar-SA"/>
    </w:rPr>
  </w:style>
  <w:style w:type="paragraph" w:customStyle="1" w:styleId="Default">
    <w:name w:val="Default"/>
    <w:rsid w:val="003412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DBA56-06C2-49EA-9090-A90B8C5D6C96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DC5BA97-F6B1-47D9-B90E-8C4CFF161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79964-1927-4619-80CC-54E841F9A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319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«ΟΛΟΚΛΗΡΩΜΕΝΕΣ ΔΡΑΣΕΙΣ ΑΝΑΔΕΙΞΗΣ ΚΑΙ ΠΡΟΣΒΑΣΙΜΟΤΗΤΑΣ ΤΟΥ ΒΥΖΑΝΤΙΝΟΥ ΚΑΣΤΡΟΥ ΚΟΜΟΤΗΝΗΣ»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«ΟΛΟΚΛΗΡΩΜΕΝΕΣ ΔΡΑΣΕΙΣ ΑΝΑΔΕΙΞΗΣ ΚΑΙ ΠΡΟΣΒΑΣΙΜΟΤΗΤΑΣ ΤΟΥ ΒΥΖΑΝΤΙΝΟΥ ΚΑΣΤΡΟΥ ΚΟΜΟΤΗΝΗΣ»</dc:title>
  <dc:subject/>
  <dc:creator>EYTOP</dc:creator>
  <cp:keywords/>
  <cp:lastModifiedBy>SPHLIOPOULOU</cp:lastModifiedBy>
  <cp:revision>17</cp:revision>
  <dcterms:created xsi:type="dcterms:W3CDTF">2024-04-23T08:32:00Z</dcterms:created>
  <dcterms:modified xsi:type="dcterms:W3CDTF">2024-04-23T10:09:00Z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