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5E48F3">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5E48F3" w:rsidRPr="005E48F3">
        <w:rPr>
          <w:rFonts w:ascii="Arial" w:hAnsi="Arial" w:cs="Arial"/>
          <w:b/>
          <w:bCs/>
          <w:color w:val="003399"/>
          <w:sz w:val="24"/>
          <w:szCs w:val="24"/>
          <w:shd w:val="clear" w:color="auto" w:fill="FFFFFF"/>
          <w:lang w:eastAsia="el-GR"/>
        </w:rPr>
        <w:t xml:space="preserve">SUB1.2.6 ΠΡΟΣΒΑΣΙΜΟΤΗΤΑ </w:t>
      </w:r>
      <w:proofErr w:type="spellStart"/>
      <w:r w:rsidR="005E48F3" w:rsidRPr="005E48F3">
        <w:rPr>
          <w:rFonts w:ascii="Arial" w:hAnsi="Arial" w:cs="Arial"/>
          <w:b/>
          <w:bCs/>
          <w:color w:val="003399"/>
          <w:sz w:val="24"/>
          <w:szCs w:val="24"/>
          <w:shd w:val="clear" w:color="auto" w:fill="FFFFFF"/>
          <w:lang w:eastAsia="el-GR"/>
        </w:rPr>
        <w:t>ΑμΕΑ</w:t>
      </w:r>
      <w:proofErr w:type="spellEnd"/>
      <w:r w:rsidR="005E48F3" w:rsidRPr="005E48F3">
        <w:rPr>
          <w:rFonts w:ascii="Arial" w:hAnsi="Arial" w:cs="Arial"/>
          <w:b/>
          <w:bCs/>
          <w:color w:val="003399"/>
          <w:sz w:val="24"/>
          <w:szCs w:val="24"/>
          <w:shd w:val="clear" w:color="auto" w:fill="FFFFFF"/>
          <w:lang w:eastAsia="el-GR"/>
        </w:rPr>
        <w:t>-ΒΕΛΤΙΩΣΗ ΥΠΟΔΟΜΩΝ ΥΠΟΔΟΧΗΣ ΕΠΙΣΚΕΠΤΩΝ</w:t>
      </w:r>
      <w:r w:rsidR="005E48F3">
        <w:rPr>
          <w:rFonts w:ascii="Arial" w:hAnsi="Arial" w:cs="Arial"/>
          <w:b/>
          <w:bCs/>
          <w:color w:val="003399"/>
          <w:sz w:val="24"/>
          <w:szCs w:val="24"/>
          <w:shd w:val="clear" w:color="auto" w:fill="FFFFFF"/>
          <w:lang w:eastAsia="el-GR"/>
        </w:rPr>
        <w:t xml:space="preserve"> </w:t>
      </w:r>
      <w:r w:rsidR="005E48F3" w:rsidRPr="005E48F3">
        <w:rPr>
          <w:rFonts w:ascii="Arial" w:hAnsi="Arial" w:cs="Arial"/>
          <w:b/>
          <w:bCs/>
          <w:color w:val="003399"/>
          <w:sz w:val="24"/>
          <w:szCs w:val="24"/>
          <w:shd w:val="clear" w:color="auto" w:fill="FFFFFF"/>
          <w:lang w:eastAsia="el-GR"/>
        </w:rPr>
        <w:t>ΣΕ ΜΝΗΜΕΙΑ ΤΗΣ ΑΜΦΙΠΟΛΗΣ, Π.Ε. ΣΕΡΡΩΝ</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153C25">
      <w:pPr>
        <w:spacing w:line="360" w:lineRule="auto"/>
        <w:jc w:val="both"/>
      </w:pPr>
      <w:r w:rsidRPr="00857872">
        <w:t xml:space="preserve">Το έργο </w:t>
      </w:r>
      <w:r w:rsidR="00073BE7">
        <w:t>«</w:t>
      </w:r>
      <w:r w:rsidR="005E48F3">
        <w:t xml:space="preserve">SUB1.2.6 ΠΡΟΣΒΑΣΙΜΟΤΗΤΑ </w:t>
      </w:r>
      <w:proofErr w:type="spellStart"/>
      <w:r w:rsidR="005E48F3">
        <w:t>ΑμΕΑ</w:t>
      </w:r>
      <w:proofErr w:type="spellEnd"/>
      <w:r w:rsidR="005E48F3">
        <w:t>-ΒΕΛΤΙΩΣΗ ΥΠΟΔΟΜΩΝ ΥΠΟΔΟΧΗΣ ΕΠΙΣΚΕΠΤΩΝ ΣΕ ΜΝΗΜΕΙΑ ΤΗΣ ΑΜΦΙΠΟΛΗΣ, Π.Ε. ΣΕΡΡΩΝ</w:t>
      </w:r>
      <w:r w:rsidR="00153C25">
        <w:t>»</w:t>
      </w:r>
      <w:r w:rsidR="00073BE7">
        <w:t xml:space="preserve"> με κωδικό ΟΠΣ ΤΑ </w:t>
      </w:r>
      <w:r w:rsidR="005E48F3">
        <w:t>5184876</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5E48F3">
        <w:t>795.664</w:t>
      </w:r>
      <w:r w:rsidR="00BB1FA9">
        <w:t>€.</w:t>
      </w:r>
    </w:p>
    <w:p w:rsidR="008C079B" w:rsidRDefault="005E48F3" w:rsidP="00BC75A0">
      <w:pPr>
        <w:spacing w:before="120" w:after="0" w:line="360" w:lineRule="auto"/>
        <w:jc w:val="both"/>
      </w:pPr>
      <w:r>
        <w:t>Στο πλαίσιο του έργου θα υλοποιηθούν: Διαδρομές κατ</w:t>
      </w:r>
      <w:bookmarkStart w:id="0" w:name="_GoBack"/>
      <w:bookmarkEnd w:id="0"/>
      <w:r>
        <w:t xml:space="preserve">άλληλες και για διέλευση </w:t>
      </w:r>
      <w:proofErr w:type="spellStart"/>
      <w:r>
        <w:t>ΑμεΑ</w:t>
      </w:r>
      <w:proofErr w:type="spellEnd"/>
      <w:r>
        <w:t xml:space="preserve"> στον τύμβο </w:t>
      </w:r>
      <w:proofErr w:type="spellStart"/>
      <w:r>
        <w:t>Καστά</w:t>
      </w:r>
      <w:proofErr w:type="spellEnd"/>
      <w:r>
        <w:t xml:space="preserve"> μήκους 670τ.μ., στην παλαιοχριστιανική ακρόπολη μήκους 130τ.μ. στο αρχαίο Γυμνάσιο μήκους 374τ.μ. και στο Βόρειο τείχος μήκους 262τ.μ. Θα βελτιωθούν υφιστάμενες διαδρομές και θα μετατραπούν σε </w:t>
      </w:r>
      <w:proofErr w:type="spellStart"/>
      <w:r>
        <w:t>προσβάσιμες</w:t>
      </w:r>
      <w:proofErr w:type="spellEnd"/>
      <w:r>
        <w:t xml:space="preserve"> για </w:t>
      </w:r>
      <w:proofErr w:type="spellStart"/>
      <w:r>
        <w:t>ΑμεΑ</w:t>
      </w:r>
      <w:proofErr w:type="spellEnd"/>
      <w:r>
        <w:t xml:space="preserve"> στην παλαιοχριστιανική ακρόπολη (μήκους 570τ.μ.) και στο αρχαίο Γυμνάσιο (μήκους 200τ.μ.) Για να καταστεί δυνατή η πρόσβαση των </w:t>
      </w:r>
      <w:proofErr w:type="spellStart"/>
      <w:r>
        <w:t>ΑμεΑ</w:t>
      </w:r>
      <w:proofErr w:type="spellEnd"/>
      <w:r>
        <w:t xml:space="preserve"> στον </w:t>
      </w:r>
      <w:proofErr w:type="spellStart"/>
      <w:r>
        <w:t>αρχ</w:t>
      </w:r>
      <w:proofErr w:type="spellEnd"/>
      <w:r>
        <w:t>/</w:t>
      </w:r>
      <w:proofErr w:type="spellStart"/>
      <w:r>
        <w:t>κό</w:t>
      </w:r>
      <w:proofErr w:type="spellEnd"/>
      <w:r>
        <w:t xml:space="preserve"> χώρο της παλαιοχριστιανικής ακρόπολης θα τοποθετηθεί αναβατόριο κατακόρυφης μεταφοράς με </w:t>
      </w:r>
      <w:proofErr w:type="spellStart"/>
      <w:r>
        <w:t>πλατφορμα</w:t>
      </w:r>
      <w:proofErr w:type="spellEnd"/>
      <w:r>
        <w:t xml:space="preserve">. Στους ανωτέρω χώρους θα δημιουργηθούν θέσεις στάθμευσης για οχήματα </w:t>
      </w:r>
      <w:proofErr w:type="spellStart"/>
      <w:r>
        <w:t>ΑμεΑ</w:t>
      </w:r>
      <w:proofErr w:type="spellEnd"/>
      <w:r>
        <w:t xml:space="preserve">. Επίσης στο αρχαίο Γυμνάσιο θα διαμορφωθεί επιπλέον χώρος πάρκινγκ 70τ.μ. και στο Βόρειο τείχος 100 τ.μ. συνολικά για </w:t>
      </w:r>
      <w:proofErr w:type="spellStart"/>
      <w:r>
        <w:t>Αμεα</w:t>
      </w:r>
      <w:proofErr w:type="spellEnd"/>
      <w:r>
        <w:t xml:space="preserve"> και για τα υπόλοιπα οχήματα. Θα τοποθετηθούν περιφράξεις: 460 μ. ελαφρές περιφράξεις (αρχαίο Γυμνάσιο και τύμβος </w:t>
      </w:r>
      <w:proofErr w:type="spellStart"/>
      <w:r>
        <w:t>Καστά</w:t>
      </w:r>
      <w:proofErr w:type="spellEnd"/>
      <w:r>
        <w:t xml:space="preserve">), 125 μ. περιφράξεις </w:t>
      </w:r>
      <w:proofErr w:type="spellStart"/>
      <w:r>
        <w:t>βαρέος</w:t>
      </w:r>
      <w:proofErr w:type="spellEnd"/>
      <w:r>
        <w:t xml:space="preserve"> τύπου στο αρχαίο Γυμνάσιο, 125 μ. </w:t>
      </w:r>
      <w:proofErr w:type="spellStart"/>
      <w:r>
        <w:t>περισχοίνισης</w:t>
      </w:r>
      <w:proofErr w:type="spellEnd"/>
      <w:r>
        <w:t xml:space="preserve"> στο αρχαίο Γυμνάσιο και 4 θύρες εισόδου (δύο στο αρχαίο Γυμνάσιο και δύο στον τύμβο </w:t>
      </w:r>
      <w:proofErr w:type="spellStart"/>
      <w:r>
        <w:t>Καστά</w:t>
      </w:r>
      <w:proofErr w:type="spellEnd"/>
      <w:r>
        <w:t xml:space="preserve">). Θα κατασκευαστούν βασικοί χώροι υποδοχής και υποδομές εξυπηρέτησης των επισκεπτών. Θα εγκατασταθούν ένα φυλάκιο εισόδου και εξυπηρέτησης κοινού και ένας χώρος υγιεινής επισκεπτών στον τύμβο </w:t>
      </w:r>
      <w:proofErr w:type="spellStart"/>
      <w:r>
        <w:t>Καστά</w:t>
      </w:r>
      <w:proofErr w:type="spellEnd"/>
      <w:r>
        <w:t xml:space="preserve">, ένα φυλάκιο εισόδου και εξυπηρέτησης κοινού και ένας χώρος υγιεινής επισκεπτών στο αρχαίο Γυμνάσιο. Οι ανωτέρω υποδομές και εγκαταστάσεις θα εξοπλισθούν με όλες τις απαραίτητες υποδομές για να είναι λειτουργικές και ασφαλείς (δίκτυο υδροδότησης, βόθροι, ηλεκτρολογικό δίκτυο, δίκτυο φωτισμού, ηλεκτρολογικός εξοπλισμός, </w:t>
      </w:r>
      <w:proofErr w:type="spellStart"/>
      <w:r>
        <w:t>αντικεραυνική</w:t>
      </w:r>
      <w:proofErr w:type="spellEnd"/>
      <w:r>
        <w:t xml:space="preserve"> προστασία, εγκατάσταση συστημάτων ασφαλείας). Επίσης, θα γίνει </w:t>
      </w:r>
      <w:proofErr w:type="spellStart"/>
      <w:r>
        <w:t>επαναβαφή</w:t>
      </w:r>
      <w:proofErr w:type="spellEnd"/>
      <w:r>
        <w:t xml:space="preserve"> ξύλινων στεγάστρων προστασίας </w:t>
      </w:r>
      <w:proofErr w:type="spellStart"/>
      <w:r>
        <w:t>προστασίας</w:t>
      </w:r>
      <w:proofErr w:type="spellEnd"/>
      <w:r>
        <w:t xml:space="preserve"> ξυστού, δεξαμενών, αρχιτεκτονικών μελών, κλιβάνου και του μεταλλικού στεγάστρου προστασίας Παλαίστρας στο Αρχαίο Γυμνάσιο. Στα ίδια στέγαστρα προστασίας ξυστού και δεξαμενών, θα γίνει αντικατάσταση οριζόντιων υδρορροών. και επισκευή υδρορροών τιτανιούχου ψευδαργύρου των υπόλοιπων ξύλινων στεγάστρων. Θα γίνει </w:t>
      </w:r>
      <w:proofErr w:type="spellStart"/>
      <w:r>
        <w:t>επαναβαφή</w:t>
      </w:r>
      <w:proofErr w:type="spellEnd"/>
      <w:r>
        <w:t xml:space="preserve"> του στεγάστρου προστασίας της Ελληνιστικής οικίας, αντικατάσταση των σπασμένων υαλοστασίων καθώς και αντικατάσταση επίθετων φίλτρων προστασίας UV στα υαλοστάσια. Ένα από τα κτίρια του Παλαιού Σιδηροδρομικού Σταθμού, </w:t>
      </w:r>
      <w:r>
        <w:lastRenderedPageBreak/>
        <w:t xml:space="preserve">πλησίον του αρχαίου Βορείου τείχους της Αμφίπολης, στο οποίο έχουν γίνει οι απαραίτητες επισκευές και ανακαίνιση των χώρων υγιεινής, θα λειτουργήσει ως χώρος πληροφόρησης των επισκεπτών και ως πυρήνας υπαίθριων εκδηλώσεων. Για το λόγο αυτό θα γίνει προμήθεια απαραίτητου εξοπλισμού: καθίσματα, </w:t>
      </w:r>
      <w:proofErr w:type="spellStart"/>
      <w:r>
        <w:t>μπάνερ</w:t>
      </w:r>
      <w:proofErr w:type="spellEnd"/>
      <w:r>
        <w:t xml:space="preserve"> εξωτερικού χώρου, </w:t>
      </w:r>
      <w:proofErr w:type="spellStart"/>
      <w:r>
        <w:t>ρολ</w:t>
      </w:r>
      <w:proofErr w:type="spellEnd"/>
      <w:r>
        <w:t xml:space="preserve"> </w:t>
      </w:r>
      <w:proofErr w:type="spellStart"/>
      <w:r>
        <w:t>απ</w:t>
      </w:r>
      <w:proofErr w:type="spellEnd"/>
      <w:r>
        <w:t xml:space="preserve"> εσωτερικού χώρου, οθόνη προβολών. Κατά μήκος των διαδρομών θα τοποθετηθούν ενημερωτικές πινακίδες για τη διευκόλυνση της περιήγησης των επισκεπτών και για την κατανόηση των χώρων τριών τύπων: κατεύθυνσης, πληροφόρησης και εισόδου, καθώς και μικρά καθιστικά για τους επισκέπτες, κάδοι απορριμμάτων, κ.α. Θα γίνει επίσης προμήθεια πληροφοριακού υλικού σε έντυπη μορφή (συμβατικά και BRAILLE). Παράλληλα θα σχεδιασθεί ψηφιακή εφαρμογή με πρόσβαση από έξυπνα κινητά (QR </w:t>
      </w:r>
      <w:proofErr w:type="spellStart"/>
      <w:r>
        <w:t>code</w:t>
      </w:r>
      <w:proofErr w:type="spellEnd"/>
      <w:r>
        <w:t>) με τον ίδιο όγκο πληροφοριών και αναφορές σε σχετικές διαθέσιμες πληροφορίες ιστορικής και γραμματειακής φύσης σε ιστοσελίδες ελεύθερης πρόσβασης. Κατά τη διάρκεια υλοποίησης των εργασιών θα γίνουν μικρής κλίμακας εργασίες καθαρισμού εδάφους και αποψιλώσεων, αποξήλωση περιφράξεων κλπ. Καθ' όλη τη διάρκεια υλοποίησης του έργου θα παρέχεται στην ΕΦΑ Σερρών υπηρεσία λογιστικής υποστήριξης</w:t>
      </w:r>
      <w:r w:rsidR="00F3184E">
        <w:t>.</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53C25"/>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5E48F3"/>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079B"/>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B1FA9"/>
    <w:rsid w:val="00BC75A0"/>
    <w:rsid w:val="00C005DB"/>
    <w:rsid w:val="00C90550"/>
    <w:rsid w:val="00CE2572"/>
    <w:rsid w:val="00CE7BB8"/>
    <w:rsid w:val="00D00DAF"/>
    <w:rsid w:val="00D52580"/>
    <w:rsid w:val="00D63611"/>
    <w:rsid w:val="00D73ED2"/>
    <w:rsid w:val="00DA56D8"/>
    <w:rsid w:val="00DD69EB"/>
    <w:rsid w:val="00E01C62"/>
    <w:rsid w:val="00EB074F"/>
    <w:rsid w:val="00EC173D"/>
    <w:rsid w:val="00F3184E"/>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081062"/>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BA97-F6B1-47D9-B90E-8C4CFF161586}">
  <ds:schemaRefs>
    <ds:schemaRef ds:uri="http://schemas.microsoft.com/sharepoint/v3/contenttype/forms"/>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530</Words>
  <Characters>3463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13</cp:revision>
  <dcterms:created xsi:type="dcterms:W3CDTF">2024-04-23T08:32:00Z</dcterms:created>
  <dcterms:modified xsi:type="dcterms:W3CDTF">2024-04-23T09:51:00Z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