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6F" w:rsidRDefault="007F1302">
      <w:pPr>
        <w:pStyle w:val="ac"/>
        <w:spacing w:before="120" w:line="360" w:lineRule="auto"/>
        <w:jc w:val="both"/>
        <w:rPr>
          <w:rFonts w:ascii="Arial" w:hAnsi="Arial" w:cs="Arial"/>
          <w:b/>
          <w:caps/>
          <w:color w:val="003399"/>
          <w:sz w:val="24"/>
          <w:szCs w:val="24"/>
          <w:lang w:val="el-GR"/>
        </w:rPr>
      </w:pPr>
      <w:r>
        <w:rPr>
          <w:rFonts w:ascii="Arial" w:hAnsi="Arial" w:cs="Arial"/>
          <w:b/>
          <w:caps/>
          <w:color w:val="003399"/>
          <w:sz w:val="24"/>
          <w:szCs w:val="24"/>
          <w:lang w:val="el-GR"/>
        </w:rPr>
        <w:t>«</w:t>
      </w:r>
      <w:r>
        <w:rPr>
          <w:rFonts w:ascii="Arial" w:hAnsi="Arial" w:cs="Arial"/>
          <w:b/>
          <w:caps/>
          <w:color w:val="003399"/>
          <w:sz w:val="24"/>
          <w:szCs w:val="24"/>
          <w:lang w:val="en-US"/>
        </w:rPr>
        <w:t>SUB</w:t>
      </w:r>
      <w:r>
        <w:rPr>
          <w:rFonts w:ascii="Arial" w:hAnsi="Arial" w:cs="Arial"/>
          <w:b/>
          <w:caps/>
          <w:color w:val="003399"/>
          <w:sz w:val="24"/>
          <w:szCs w:val="24"/>
          <w:lang w:val="el-GR"/>
        </w:rPr>
        <w:t>.2 - πολιτιστικη εγνατια οδοσ»</w:t>
      </w:r>
    </w:p>
    <w:p w:rsidR="007F1302" w:rsidRDefault="007F1302">
      <w:pPr>
        <w:pStyle w:val="ac"/>
        <w:spacing w:before="120" w:line="360" w:lineRule="auto"/>
        <w:jc w:val="both"/>
        <w:rPr>
          <w:rFonts w:ascii="Arial" w:hAnsi="Arial" w:cs="Arial"/>
          <w:b/>
          <w:caps/>
          <w:color w:val="003399"/>
          <w:sz w:val="24"/>
          <w:szCs w:val="24"/>
          <w:lang w:val="el-GR"/>
        </w:rPr>
      </w:pPr>
      <w:bookmarkStart w:id="0" w:name="_GoBack"/>
      <w:bookmarkEnd w:id="0"/>
    </w:p>
    <w:p w:rsidR="00543A6F" w:rsidRPr="007F1302" w:rsidRDefault="007F1302">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Το έργο «</w:t>
      </w:r>
      <w:r>
        <w:rPr>
          <w:sz w:val="24"/>
          <w:szCs w:val="24"/>
          <w:shd w:val="clear" w:color="auto" w:fill="FFFFFF"/>
          <w:lang w:val="en-US" w:eastAsia="zh-CN"/>
        </w:rPr>
        <w:t>SUB</w:t>
      </w:r>
      <w:r>
        <w:rPr>
          <w:sz w:val="24"/>
          <w:szCs w:val="24"/>
          <w:shd w:val="clear" w:color="auto" w:fill="FFFFFF"/>
          <w:lang w:val="el-GR" w:eastAsia="zh-CN"/>
        </w:rPr>
        <w:t xml:space="preserve">.2 - Πολιτιστική Εγνατία Οδός» εντάχθηκε στο Ταμείο Ανάκαμψης και Ανθεκτικότητας με Κωδικό ΟΠΣ ΤΑ 5150091, προϋπολογισμό 500.000 € ευρώ και χρηματοδότηση από το Πρόγραμμα Δημοσίων Επενδύσεων (ΠΔΕ) 2022, στη </w:t>
      </w:r>
      <w:r>
        <w:rPr>
          <w:sz w:val="24"/>
          <w:szCs w:val="24"/>
          <w:shd w:val="clear" w:color="auto" w:fill="FFFFFF"/>
          <w:lang w:val="el-GR" w:eastAsia="zh-CN"/>
        </w:rPr>
        <w:t xml:space="preserve">ΣΑΤΑ 014. Πρόκειται για ένα από τα πέντε (5) </w:t>
      </w:r>
      <w:proofErr w:type="spellStart"/>
      <w:r>
        <w:rPr>
          <w:sz w:val="24"/>
          <w:szCs w:val="24"/>
          <w:shd w:val="clear" w:color="auto" w:fill="FFFFFF"/>
          <w:lang w:val="el-GR" w:eastAsia="zh-CN"/>
        </w:rPr>
        <w:t>Υποέργα</w:t>
      </w:r>
      <w:proofErr w:type="spellEnd"/>
      <w:r>
        <w:rPr>
          <w:sz w:val="24"/>
          <w:szCs w:val="24"/>
          <w:shd w:val="clear" w:color="auto" w:fill="FFFFFF"/>
          <w:lang w:val="el-GR" w:eastAsia="zh-CN"/>
        </w:rPr>
        <w:t xml:space="preserve"> της Δράσης του ΥΠΠΟΑ με τίτλο “Πολιτιστικές διαδρομές σε εμβληματικούς αρχαιολογικούς χώρους”</w:t>
      </w:r>
      <w:r w:rsidRPr="007F1302">
        <w:rPr>
          <w:sz w:val="24"/>
          <w:szCs w:val="24"/>
          <w:shd w:val="clear" w:color="auto" w:fill="FFFFFF"/>
          <w:lang w:val="el-GR" w:eastAsia="zh-CN"/>
        </w:rPr>
        <w:t>.</w:t>
      </w:r>
    </w:p>
    <w:p w:rsidR="00543A6F" w:rsidRDefault="007F1302">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 xml:space="preserve">Η Εγνατία Οδός, o σπουδαίος στρατιωτικός και εμπορικός δρόμος της αρχαιότητας που διέσχιζε τη Μακεδονία και </w:t>
      </w:r>
      <w:r>
        <w:rPr>
          <w:sz w:val="24"/>
          <w:szCs w:val="24"/>
          <w:shd w:val="clear" w:color="auto" w:fill="FFFFFF"/>
          <w:lang w:val="el-GR" w:eastAsia="zh-CN"/>
        </w:rPr>
        <w:t>τη Θράκη, έπαιξε σημαντικό ρόλο στην τύχη της Ρώμης, του Βυζαντίου και της Οθωμανικής Αυτοκρατορίας.  Αρχαιολογικοί χώροι και μνημεία όλων των εποχών από την αρχαιότητα μέχρι τους νεότερους χρόνους, αποτελούν αψευδείς μάρτυρες της διαχρονικής ανάπτυξης των</w:t>
      </w:r>
      <w:r>
        <w:rPr>
          <w:sz w:val="24"/>
          <w:szCs w:val="24"/>
          <w:shd w:val="clear" w:color="auto" w:fill="FFFFFF"/>
          <w:lang w:val="el-GR" w:eastAsia="zh-CN"/>
        </w:rPr>
        <w:t xml:space="preserve"> περιοχών από τις οποίες περνούσε ο δρόμος, της ανταλλαγής ιδεών και της διάδοσης καλλιτεχνικών ρευμάτων. Η διαδρομή της αρχαίας Εγνατίας ταυτίζεται σε μεγάλο βαθμό</w:t>
      </w:r>
      <w:r w:rsidRPr="007F1302">
        <w:rPr>
          <w:sz w:val="24"/>
          <w:szCs w:val="24"/>
          <w:shd w:val="clear" w:color="auto" w:fill="FFFFFF"/>
          <w:lang w:val="el-GR" w:eastAsia="zh-CN"/>
        </w:rPr>
        <w:t xml:space="preserve">, </w:t>
      </w:r>
      <w:r>
        <w:rPr>
          <w:sz w:val="24"/>
          <w:szCs w:val="24"/>
          <w:shd w:val="clear" w:color="auto" w:fill="FFFFFF"/>
          <w:lang w:val="el-GR" w:eastAsia="zh-CN"/>
        </w:rPr>
        <w:t>στο ανατολικό της κυρίως τμήμα,</w:t>
      </w:r>
      <w:r>
        <w:rPr>
          <w:sz w:val="24"/>
          <w:szCs w:val="24"/>
          <w:shd w:val="clear" w:color="auto" w:fill="FFFFFF"/>
          <w:lang w:val="el-GR" w:eastAsia="zh-CN"/>
        </w:rPr>
        <w:t xml:space="preserve"> με τη σύγχρονη Εγνατία.</w:t>
      </w:r>
      <w:r>
        <w:rPr>
          <w:sz w:val="24"/>
          <w:szCs w:val="24"/>
          <w:shd w:val="clear" w:color="auto" w:fill="FFFFFF"/>
          <w:lang w:val="el-GR" w:eastAsia="zh-CN"/>
        </w:rPr>
        <w:br/>
        <w:t xml:space="preserve">    Το έργο της Διεύθυνσης Βυζαντι</w:t>
      </w:r>
      <w:r>
        <w:rPr>
          <w:sz w:val="24"/>
          <w:szCs w:val="24"/>
          <w:shd w:val="clear" w:color="auto" w:fill="FFFFFF"/>
          <w:lang w:val="el-GR" w:eastAsia="zh-CN"/>
        </w:rPr>
        <w:t>νών και Μεταβυζαντινών Αρχαιοτήτων αφορά στο σχεδιασμό μιας πολιτιστικής διαδρομής περιήγησης, που διατρέχει την Ήπειρο, τη Μακεδονία και τη Θράκη. Στο πλαίσιο αυτό επιλέγονται σημαντικές θέσεις αρχαιολογικού ενδιαφέροντος διαχρονικής σημασίας κατά μήκος τ</w:t>
      </w:r>
      <w:r>
        <w:rPr>
          <w:sz w:val="24"/>
          <w:szCs w:val="24"/>
          <w:shd w:val="clear" w:color="auto" w:fill="FFFFFF"/>
          <w:lang w:val="el-GR" w:eastAsia="zh-CN"/>
        </w:rPr>
        <w:t xml:space="preserve">ης αρχαίας Εγνατίας οδού αλλά και του σύγχρονου δρόμου, ενώ συμπληρωματικά συλλέγονται πληροφορίες που αφορούν στο </w:t>
      </w:r>
      <w:proofErr w:type="spellStart"/>
      <w:r>
        <w:rPr>
          <w:sz w:val="24"/>
          <w:szCs w:val="24"/>
          <w:shd w:val="clear" w:color="auto" w:fill="FFFFFF"/>
          <w:lang w:val="el-GR" w:eastAsia="zh-CN"/>
        </w:rPr>
        <w:t>νεώτερο</w:t>
      </w:r>
      <w:proofErr w:type="spellEnd"/>
      <w:r>
        <w:rPr>
          <w:sz w:val="24"/>
          <w:szCs w:val="24"/>
          <w:shd w:val="clear" w:color="auto" w:fill="FFFFFF"/>
          <w:lang w:val="el-GR" w:eastAsia="zh-CN"/>
        </w:rPr>
        <w:t xml:space="preserve"> και σύγχρονο πολιτισμό και το φυσικό περιβάλλον.</w:t>
      </w:r>
      <w:r>
        <w:rPr>
          <w:sz w:val="24"/>
          <w:szCs w:val="24"/>
          <w:shd w:val="clear" w:color="auto" w:fill="FFFFFF"/>
          <w:lang w:val="el-GR" w:eastAsia="zh-CN"/>
        </w:rPr>
        <w:t xml:space="preserve"> Η πολιτιστική διαδρομή </w:t>
      </w:r>
      <w:r>
        <w:rPr>
          <w:sz w:val="24"/>
          <w:szCs w:val="24"/>
          <w:shd w:val="clear" w:color="auto" w:fill="FFFFFF"/>
          <w:lang w:val="el-GR" w:eastAsia="zh-CN"/>
        </w:rPr>
        <w:t xml:space="preserve"> </w:t>
      </w:r>
      <w:r>
        <w:rPr>
          <w:sz w:val="24"/>
          <w:szCs w:val="24"/>
          <w:shd w:val="clear" w:color="auto" w:fill="FFFFFF"/>
          <w:lang w:val="el-GR" w:eastAsia="zh-CN"/>
        </w:rPr>
        <w:t>περιλαμβάνει</w:t>
      </w:r>
      <w:r>
        <w:rPr>
          <w:sz w:val="24"/>
          <w:szCs w:val="24"/>
          <w:shd w:val="clear" w:color="auto" w:fill="FFFFFF"/>
          <w:lang w:val="el-GR" w:eastAsia="zh-CN"/>
        </w:rPr>
        <w:t>:</w:t>
      </w:r>
      <w:r>
        <w:rPr>
          <w:sz w:val="24"/>
          <w:szCs w:val="24"/>
          <w:shd w:val="clear" w:color="auto" w:fill="FFFFFF"/>
          <w:lang w:val="el-GR" w:eastAsia="zh-CN"/>
        </w:rPr>
        <w:t xml:space="preserve"> α) το ίχνος της ίδιας της αρχαίας οδού, β) </w:t>
      </w:r>
      <w:r>
        <w:rPr>
          <w:sz w:val="24"/>
          <w:szCs w:val="24"/>
          <w:shd w:val="clear" w:color="auto" w:fill="FFFFFF"/>
          <w:lang w:val="el-GR" w:eastAsia="zh-CN"/>
        </w:rPr>
        <w:t xml:space="preserve">επιλεγμένους </w:t>
      </w:r>
      <w:r>
        <w:rPr>
          <w:sz w:val="24"/>
          <w:szCs w:val="24"/>
          <w:shd w:val="clear" w:color="auto" w:fill="FFFFFF"/>
          <w:lang w:val="el-GR" w:eastAsia="zh-CN"/>
        </w:rPr>
        <w:t xml:space="preserve">αρχαιολογικούς χώρους και μνημεία που εντοπίζονται στην πορεία της, από την </w:t>
      </w:r>
      <w:proofErr w:type="spellStart"/>
      <w:r>
        <w:rPr>
          <w:sz w:val="24"/>
          <w:szCs w:val="24"/>
          <w:shd w:val="clear" w:color="auto" w:fill="FFFFFF"/>
          <w:lang w:val="el-GR" w:eastAsia="zh-CN"/>
        </w:rPr>
        <w:t>Τραϊανούπολη</w:t>
      </w:r>
      <w:proofErr w:type="spellEnd"/>
      <w:r>
        <w:rPr>
          <w:sz w:val="24"/>
          <w:szCs w:val="24"/>
          <w:shd w:val="clear" w:color="auto" w:fill="FFFFFF"/>
          <w:lang w:val="el-GR" w:eastAsia="zh-CN"/>
        </w:rPr>
        <w:t xml:space="preserve">, την </w:t>
      </w:r>
      <w:proofErr w:type="spellStart"/>
      <w:r>
        <w:rPr>
          <w:sz w:val="24"/>
          <w:szCs w:val="24"/>
          <w:shd w:val="clear" w:color="auto" w:fill="FFFFFF"/>
          <w:lang w:val="el-GR" w:eastAsia="zh-CN"/>
        </w:rPr>
        <w:t>Αναστασιούπολη</w:t>
      </w:r>
      <w:proofErr w:type="spellEnd"/>
      <w:r>
        <w:rPr>
          <w:sz w:val="24"/>
          <w:szCs w:val="24"/>
          <w:shd w:val="clear" w:color="auto" w:fill="FFFFFF"/>
          <w:lang w:val="el-GR" w:eastAsia="zh-CN"/>
        </w:rPr>
        <w:t xml:space="preserve"> </w:t>
      </w:r>
      <w:r>
        <w:rPr>
          <w:sz w:val="24"/>
          <w:szCs w:val="24"/>
          <w:shd w:val="clear" w:color="auto" w:fill="FFFFFF"/>
          <w:lang w:val="el-GR" w:eastAsia="zh-CN"/>
        </w:rPr>
        <w:t xml:space="preserve">και τους Φιλίππους, </w:t>
      </w:r>
      <w:r>
        <w:rPr>
          <w:sz w:val="24"/>
          <w:szCs w:val="24"/>
          <w:shd w:val="clear" w:color="auto" w:fill="FFFFFF"/>
          <w:lang w:val="el-GR" w:eastAsia="zh-CN"/>
        </w:rPr>
        <w:t>μέχρι την Πέλλα και την Φλώρινα</w:t>
      </w:r>
      <w:r>
        <w:rPr>
          <w:sz w:val="24"/>
          <w:szCs w:val="24"/>
          <w:shd w:val="clear" w:color="auto" w:fill="FFFFFF"/>
          <w:lang w:val="el-GR" w:eastAsia="zh-CN"/>
        </w:rPr>
        <w:t>,</w:t>
      </w:r>
      <w:r>
        <w:rPr>
          <w:sz w:val="24"/>
          <w:szCs w:val="24"/>
          <w:shd w:val="clear" w:color="auto" w:fill="FFFFFF"/>
          <w:lang w:val="el-GR" w:eastAsia="zh-CN"/>
        </w:rPr>
        <w:t xml:space="preserve"> καθώς και γ) θέσεις</w:t>
      </w:r>
      <w:r>
        <w:rPr>
          <w:sz w:val="24"/>
          <w:szCs w:val="24"/>
          <w:shd w:val="clear" w:color="auto" w:fill="FFFFFF"/>
          <w:lang w:val="el-GR" w:eastAsia="zh-CN"/>
        </w:rPr>
        <w:t xml:space="preserve"> ή σύνολα μνημείων πέριξ του άξονα της </w:t>
      </w:r>
      <w:r>
        <w:rPr>
          <w:sz w:val="24"/>
          <w:szCs w:val="24"/>
          <w:shd w:val="clear" w:color="auto" w:fill="FFFFFF"/>
          <w:lang w:val="el-GR" w:eastAsia="zh-CN"/>
        </w:rPr>
        <w:t>σύγχρονης Εγνατίας</w:t>
      </w:r>
      <w:r>
        <w:rPr>
          <w:sz w:val="24"/>
          <w:szCs w:val="24"/>
          <w:shd w:val="clear" w:color="auto" w:fill="FFFFFF"/>
          <w:lang w:val="el-GR" w:eastAsia="zh-CN"/>
        </w:rPr>
        <w:t>, από</w:t>
      </w:r>
      <w:r>
        <w:rPr>
          <w:sz w:val="24"/>
          <w:szCs w:val="24"/>
          <w:shd w:val="clear" w:color="auto" w:fill="FFFFFF"/>
          <w:lang w:val="el-GR" w:eastAsia="zh-CN"/>
        </w:rPr>
        <w:t xml:space="preserve"> τα μνημεία της Βέροιας και της Κοζάνης, μέχρι τα Ιωάννινα και τον ιστορικό χώρο του </w:t>
      </w:r>
      <w:proofErr w:type="spellStart"/>
      <w:r>
        <w:rPr>
          <w:sz w:val="24"/>
          <w:szCs w:val="24"/>
          <w:shd w:val="clear" w:color="auto" w:fill="FFFFFF"/>
          <w:lang w:val="el-GR" w:eastAsia="zh-CN"/>
        </w:rPr>
        <w:t>Σουλίου</w:t>
      </w:r>
      <w:proofErr w:type="spellEnd"/>
      <w:r>
        <w:rPr>
          <w:sz w:val="24"/>
          <w:szCs w:val="24"/>
          <w:shd w:val="clear" w:color="auto" w:fill="FFFFFF"/>
          <w:lang w:val="el-GR" w:eastAsia="zh-CN"/>
        </w:rPr>
        <w:t>.</w:t>
      </w:r>
      <w:r>
        <w:rPr>
          <w:sz w:val="24"/>
          <w:szCs w:val="24"/>
          <w:shd w:val="clear" w:color="auto" w:fill="FFFFFF"/>
          <w:lang w:val="el-GR" w:eastAsia="zh-CN"/>
        </w:rPr>
        <w:t xml:space="preserve"> </w:t>
      </w:r>
      <w:r>
        <w:rPr>
          <w:sz w:val="24"/>
          <w:szCs w:val="24"/>
          <w:shd w:val="clear" w:color="auto" w:fill="FFFFFF"/>
          <w:lang w:val="el-GR" w:eastAsia="zh-CN"/>
        </w:rPr>
        <w:t xml:space="preserve">Τα σημεία πολιτιστικού ενδιαφέροντος που επιλέγονται ως βασικοί σταθμοί της πολιτιστικής διαδρομής είτε συνιστούν ήδη δημοφιλείς προορισμούς, είτε έχουν δυναμική </w:t>
      </w:r>
      <w:r>
        <w:rPr>
          <w:sz w:val="24"/>
          <w:szCs w:val="24"/>
          <w:shd w:val="clear" w:color="auto" w:fill="FFFFFF"/>
          <w:lang w:val="el-GR" w:eastAsia="zh-CN"/>
        </w:rPr>
        <w:t xml:space="preserve">ποιοτικής τουριστικής αξιοποίησης. </w:t>
      </w:r>
    </w:p>
    <w:p w:rsidR="00543A6F" w:rsidRDefault="007F1302">
      <w:pPr>
        <w:spacing w:line="360" w:lineRule="auto"/>
        <w:ind w:firstLine="284"/>
        <w:jc w:val="both"/>
        <w:rPr>
          <w:sz w:val="24"/>
          <w:szCs w:val="24"/>
          <w:shd w:val="clear" w:color="auto" w:fill="FFFFFF"/>
          <w:lang w:val="el-GR"/>
        </w:rPr>
      </w:pPr>
      <w:r>
        <w:rPr>
          <w:sz w:val="24"/>
          <w:szCs w:val="24"/>
          <w:shd w:val="clear" w:color="auto" w:fill="FFFFFF"/>
          <w:lang w:val="el-GR" w:eastAsia="zh-CN"/>
        </w:rPr>
        <w:t>Η πολιτιστική διαδρομή φιλοδοξεί να ταξιδέψει  τον επισκέπτη στο χώρο και το χρόνο</w:t>
      </w:r>
      <w:r>
        <w:rPr>
          <w:sz w:val="24"/>
          <w:szCs w:val="24"/>
          <w:shd w:val="clear" w:color="auto" w:fill="FFFFFF"/>
          <w:lang w:val="el-GR" w:eastAsia="zh-CN"/>
        </w:rPr>
        <w:t>,</w:t>
      </w:r>
      <w:r>
        <w:rPr>
          <w:sz w:val="24"/>
          <w:szCs w:val="24"/>
          <w:shd w:val="clear" w:color="auto" w:fill="FFFFFF"/>
          <w:lang w:val="el-GR" w:eastAsia="zh-CN"/>
        </w:rPr>
        <w:t xml:space="preserve"> αναδεικνύοντας τον κομβικό ρόλο της αρχαίας Εγνατίας για την οικιστική, οικονομική και </w:t>
      </w:r>
      <w:r>
        <w:rPr>
          <w:sz w:val="24"/>
          <w:szCs w:val="24"/>
          <w:shd w:val="clear" w:color="auto" w:fill="FFFFFF"/>
          <w:lang w:val="el-GR" w:eastAsia="zh-CN"/>
        </w:rPr>
        <w:lastRenderedPageBreak/>
        <w:t>πολιτιστική ανάπτυξη των περιοχών του βορειοελλαδ</w:t>
      </w:r>
      <w:r>
        <w:rPr>
          <w:sz w:val="24"/>
          <w:szCs w:val="24"/>
          <w:shd w:val="clear" w:color="auto" w:fill="FFFFFF"/>
          <w:lang w:val="el-GR" w:eastAsia="zh-CN"/>
        </w:rPr>
        <w:t>ικού χώρου.</w:t>
      </w:r>
      <w:r>
        <w:rPr>
          <w:sz w:val="24"/>
          <w:szCs w:val="24"/>
          <w:shd w:val="clear" w:color="auto" w:fill="FFFFFF"/>
          <w:lang w:val="el-GR" w:eastAsia="zh-CN"/>
        </w:rPr>
        <w:t xml:space="preserve"> Στο</w:t>
      </w:r>
      <w:r>
        <w:rPr>
          <w:sz w:val="24"/>
          <w:szCs w:val="24"/>
          <w:shd w:val="clear" w:color="auto" w:fill="FFFFFF"/>
          <w:lang w:val="el-GR" w:eastAsia="zh-CN"/>
        </w:rPr>
        <w:t xml:space="preserve"> πλαίσιο του έργου θ</w:t>
      </w:r>
      <w:r>
        <w:rPr>
          <w:sz w:val="24"/>
          <w:szCs w:val="24"/>
          <w:shd w:val="clear" w:color="auto" w:fill="FFFFFF"/>
          <w:lang w:val="el-GR" w:eastAsia="zh-CN"/>
        </w:rPr>
        <w:t>α</w:t>
      </w:r>
      <w:r>
        <w:rPr>
          <w:sz w:val="24"/>
          <w:szCs w:val="24"/>
          <w:shd w:val="clear" w:color="auto" w:fill="FFFFFF"/>
          <w:lang w:val="el-GR" w:eastAsia="zh-CN"/>
        </w:rPr>
        <w:t xml:space="preserve"> πραγματοποιηθεί </w:t>
      </w:r>
      <w:r>
        <w:rPr>
          <w:sz w:val="24"/>
          <w:szCs w:val="24"/>
          <w:shd w:val="clear" w:color="auto" w:fill="FFFFFF"/>
          <w:lang w:val="el-GR" w:eastAsia="en-US"/>
        </w:rPr>
        <w:t>καταγραφή–επιστημονική τεκμηρίωση της διαδρομής, με παράλληλη συλλογή των απαραίτητων πληροφοριών για  αρχαιολογικούς χώρους και μνημεία -σταθμούς της διαδρομής, παραγωγή υλικού πληροφόρησης (οδηγοί/φυλλ</w:t>
      </w:r>
      <w:r>
        <w:rPr>
          <w:sz w:val="24"/>
          <w:szCs w:val="24"/>
          <w:shd w:val="clear" w:color="auto" w:fill="FFFFFF"/>
          <w:lang w:val="el-GR" w:eastAsia="en-US"/>
        </w:rPr>
        <w:t xml:space="preserve">άδια, πινακίδες), καθώς και οργάνωση δράσεων ενημέρωσης του κοινού. </w:t>
      </w:r>
      <w:r>
        <w:rPr>
          <w:sz w:val="24"/>
          <w:szCs w:val="24"/>
          <w:shd w:val="clear" w:color="auto" w:fill="FFFFFF"/>
          <w:lang w:val="el-GR" w:eastAsia="zh-CN"/>
        </w:rPr>
        <w:t>Επιπλέον, θα υλοποιηθούν σημειακές επεμβάσεις ευπρεπισμού-ανάδειξης σε επιλεγμένους χώρους της διαδρομής, όπου αυτές είναι απαραίτητες για τη διευκόλυνση και την ασφάλεια της επιτόπου επίσ</w:t>
      </w:r>
      <w:r>
        <w:rPr>
          <w:sz w:val="24"/>
          <w:szCs w:val="24"/>
          <w:shd w:val="clear" w:color="auto" w:fill="FFFFFF"/>
          <w:lang w:val="el-GR" w:eastAsia="zh-CN"/>
        </w:rPr>
        <w:t xml:space="preserve">κεψης. </w:t>
      </w:r>
      <w:r>
        <w:rPr>
          <w:sz w:val="24"/>
          <w:szCs w:val="24"/>
          <w:shd w:val="clear" w:color="auto" w:fill="FFFFFF"/>
          <w:lang w:val="el-GR"/>
        </w:rPr>
        <w:t xml:space="preserve"> </w:t>
      </w:r>
    </w:p>
    <w:p w:rsidR="00543A6F" w:rsidRDefault="007F1302">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 xml:space="preserve">Οι δράσεις που θα αναπτυχθούν αποβλέπουν στην αναβάθμιση των </w:t>
      </w:r>
      <w:proofErr w:type="spellStart"/>
      <w:r>
        <w:rPr>
          <w:sz w:val="24"/>
          <w:szCs w:val="24"/>
          <w:shd w:val="clear" w:color="auto" w:fill="FFFFFF"/>
          <w:lang w:val="el-GR" w:eastAsia="zh-CN"/>
        </w:rPr>
        <w:t>παρεχομένων</w:t>
      </w:r>
      <w:proofErr w:type="spellEnd"/>
      <w:r>
        <w:rPr>
          <w:sz w:val="24"/>
          <w:szCs w:val="24"/>
          <w:shd w:val="clear" w:color="auto" w:fill="FFFFFF"/>
          <w:lang w:val="el-GR" w:eastAsia="zh-CN"/>
        </w:rPr>
        <w:t xml:space="preserve"> στους επισκέπτες υπηρεσιών, συμβάλλοντας στην βελτίωση της </w:t>
      </w:r>
      <w:proofErr w:type="spellStart"/>
      <w:r>
        <w:rPr>
          <w:sz w:val="24"/>
          <w:szCs w:val="24"/>
          <w:shd w:val="clear" w:color="auto" w:fill="FFFFFF"/>
          <w:lang w:val="el-GR" w:eastAsia="zh-CN"/>
        </w:rPr>
        <w:t>επισκεψιμότητας</w:t>
      </w:r>
      <w:proofErr w:type="spellEnd"/>
      <w:r>
        <w:rPr>
          <w:sz w:val="24"/>
          <w:szCs w:val="24"/>
          <w:shd w:val="clear" w:color="auto" w:fill="FFFFFF"/>
          <w:lang w:val="el-GR" w:eastAsia="zh-CN"/>
        </w:rPr>
        <w:t>, την ενημέρωση και πληροφόρηση του κοινού, καθώς και την προετοιμασία του απαραίτητου υλικού για τη</w:t>
      </w:r>
      <w:r>
        <w:rPr>
          <w:sz w:val="24"/>
          <w:szCs w:val="24"/>
          <w:shd w:val="clear" w:color="auto" w:fill="FFFFFF"/>
          <w:lang w:val="el-GR" w:eastAsia="zh-CN"/>
        </w:rPr>
        <w:t xml:space="preserve">ν υλοποίηση ψηφιακών διαδραστικών εφαρμογών. </w:t>
      </w:r>
    </w:p>
    <w:p w:rsidR="00543A6F" w:rsidRDefault="007F1302">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Κατά τη διάρκεια υλοποίησης του έργου θα δημιουργηθούν νέες θέσεις εργασί</w:t>
      </w:r>
      <w:r>
        <w:rPr>
          <w:sz w:val="24"/>
          <w:szCs w:val="24"/>
          <w:shd w:val="clear" w:color="auto" w:fill="FFFFFF"/>
          <w:lang w:val="el-GR" w:eastAsia="zh-CN"/>
        </w:rPr>
        <w:t>α</w:t>
      </w:r>
      <w:r>
        <w:rPr>
          <w:sz w:val="24"/>
          <w:szCs w:val="24"/>
          <w:shd w:val="clear" w:color="auto" w:fill="FFFFFF"/>
          <w:lang w:val="el-GR" w:eastAsia="zh-CN"/>
        </w:rPr>
        <w:t>ς και θα προσληφθεί επιστημονικό προσωπικό, ενισχύοντας την οικονομία τόσο μέσω της απασχόλησης όσο και με την ανάθεση υπηρεσιών και προ</w:t>
      </w:r>
      <w:r>
        <w:rPr>
          <w:sz w:val="24"/>
          <w:szCs w:val="24"/>
          <w:shd w:val="clear" w:color="auto" w:fill="FFFFFF"/>
          <w:lang w:val="el-GR" w:eastAsia="zh-CN"/>
        </w:rPr>
        <w:t xml:space="preserve">μηθειών. </w:t>
      </w:r>
      <w:r>
        <w:rPr>
          <w:sz w:val="24"/>
          <w:szCs w:val="24"/>
          <w:shd w:val="clear" w:color="auto" w:fill="FFFFFF"/>
          <w:lang w:val="el-GR" w:eastAsia="zh-CN"/>
        </w:rPr>
        <w:t>Καθώς ο πολιτισμός εν γένει και οι πολιτιστικές διαδρομές ειδικότερα είναι γενικά αποδεκτό ότι αποτελούν κινητήρια δύναμη στην βιώσιμη, οικονομική, περιβαλλοντική και κοινωνική ανάπτυξη της χώρας, η δράση αναμένεται να συμβάλει στην ενίσχυση του τ</w:t>
      </w:r>
      <w:r>
        <w:rPr>
          <w:sz w:val="24"/>
          <w:szCs w:val="24"/>
          <w:shd w:val="clear" w:color="auto" w:fill="FFFFFF"/>
          <w:lang w:val="el-GR" w:eastAsia="zh-CN"/>
        </w:rPr>
        <w:t xml:space="preserve">ουρισμού, στην προβολή των πολιτιστικών αξιών των επιλεγεισών περιοχών, στην ενίσχυση των τοπικών και </w:t>
      </w:r>
      <w:proofErr w:type="spellStart"/>
      <w:r>
        <w:rPr>
          <w:sz w:val="24"/>
          <w:szCs w:val="24"/>
          <w:shd w:val="clear" w:color="auto" w:fill="FFFFFF"/>
          <w:lang w:val="el-GR" w:eastAsia="zh-CN"/>
        </w:rPr>
        <w:t>υπερτοπικών</w:t>
      </w:r>
      <w:proofErr w:type="spellEnd"/>
      <w:r>
        <w:rPr>
          <w:sz w:val="24"/>
          <w:szCs w:val="24"/>
          <w:shd w:val="clear" w:color="auto" w:fill="FFFFFF"/>
          <w:lang w:val="el-GR" w:eastAsia="zh-CN"/>
        </w:rPr>
        <w:t xml:space="preserve"> οικονομιών και της απασχόλησης, αλλά και στην δημιουργία ευκαιριών για πολιτιστικές συνέργειες σε εθνικό και διεθνές επίπεδο.</w:t>
      </w:r>
    </w:p>
    <w:p w:rsidR="00543A6F" w:rsidRDefault="00543A6F">
      <w:pPr>
        <w:spacing w:line="360" w:lineRule="auto"/>
        <w:ind w:firstLine="284"/>
        <w:jc w:val="both"/>
        <w:rPr>
          <w:sz w:val="24"/>
          <w:szCs w:val="24"/>
          <w:shd w:val="clear" w:color="auto" w:fill="FFFFFF"/>
          <w:lang w:val="el-GR" w:eastAsia="zh-CN"/>
        </w:rPr>
      </w:pPr>
    </w:p>
    <w:p w:rsidR="00543A6F" w:rsidRDefault="007F1302">
      <w:pPr>
        <w:spacing w:line="360" w:lineRule="auto"/>
        <w:ind w:firstLine="284"/>
        <w:jc w:val="both"/>
        <w:rPr>
          <w:rFonts w:ascii="Arial" w:hAnsi="Arial" w:cs="Arial"/>
          <w:b/>
          <w:bCs/>
          <w:color w:val="003399"/>
          <w:sz w:val="24"/>
          <w:szCs w:val="24"/>
          <w:shd w:val="clear" w:color="auto" w:fill="FFFFFF"/>
          <w:lang w:val="el-GR"/>
        </w:rPr>
      </w:pPr>
      <w:r>
        <w:rPr>
          <w:rFonts w:ascii="Arial" w:hAnsi="Arial" w:cs="Arial"/>
          <w:b/>
          <w:bCs/>
          <w:color w:val="003399"/>
          <w:sz w:val="24"/>
          <w:szCs w:val="24"/>
          <w:shd w:val="clear" w:color="auto" w:fill="FFFFFF"/>
          <w:lang w:val="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Pr>
          <w:rFonts w:ascii="Arial" w:hAnsi="Arial" w:cs="Arial"/>
          <w:b/>
          <w:bCs/>
          <w:color w:val="003399"/>
          <w:sz w:val="24"/>
          <w:szCs w:val="24"/>
          <w:shd w:val="clear" w:color="auto" w:fill="FFFFFF"/>
        </w:rPr>
        <w:t>NextGenerationEU</w:t>
      </w:r>
      <w:proofErr w:type="spellEnd"/>
      <w:r>
        <w:rPr>
          <w:rFonts w:ascii="Arial" w:hAnsi="Arial" w:cs="Arial"/>
          <w:b/>
          <w:bCs/>
          <w:color w:val="003399"/>
          <w:sz w:val="24"/>
          <w:szCs w:val="24"/>
          <w:shd w:val="clear" w:color="auto" w:fill="FFFFFF"/>
          <w:lang w:val="el-GR"/>
        </w:rPr>
        <w:t>.</w:t>
      </w:r>
    </w:p>
    <w:p w:rsidR="00543A6F" w:rsidRDefault="00543A6F">
      <w:pPr>
        <w:spacing w:line="360" w:lineRule="auto"/>
        <w:ind w:firstLine="284"/>
        <w:jc w:val="both"/>
        <w:rPr>
          <w:rFonts w:ascii="Arial" w:hAnsi="Arial" w:cs="Arial"/>
          <w:b/>
          <w:bCs/>
          <w:color w:val="003399"/>
          <w:sz w:val="24"/>
          <w:szCs w:val="24"/>
          <w:shd w:val="clear" w:color="auto" w:fill="FFFFFF"/>
          <w:lang w:val="el-GR"/>
        </w:rPr>
      </w:pPr>
    </w:p>
    <w:p w:rsidR="00543A6F" w:rsidRDefault="00543A6F">
      <w:pPr>
        <w:spacing w:line="360" w:lineRule="auto"/>
        <w:ind w:firstLine="284"/>
        <w:jc w:val="both"/>
        <w:rPr>
          <w:rFonts w:ascii="Arial" w:hAnsi="Arial" w:cs="Arial"/>
          <w:b/>
          <w:bCs/>
          <w:color w:val="003399"/>
          <w:sz w:val="24"/>
          <w:szCs w:val="24"/>
          <w:shd w:val="clear" w:color="auto" w:fill="FFFFFF"/>
          <w:lang w:val="el-GR"/>
        </w:rPr>
      </w:pPr>
    </w:p>
    <w:p w:rsidR="00543A6F" w:rsidRPr="007F1302" w:rsidRDefault="00543A6F">
      <w:pPr>
        <w:spacing w:line="360" w:lineRule="auto"/>
        <w:jc w:val="both"/>
        <w:rPr>
          <w:lang w:val="el-GR"/>
        </w:rPr>
      </w:pPr>
    </w:p>
    <w:p w:rsidR="00543A6F" w:rsidRDefault="00543A6F">
      <w:pPr>
        <w:spacing w:line="360" w:lineRule="auto"/>
        <w:ind w:firstLine="284"/>
        <w:jc w:val="both"/>
        <w:rPr>
          <w:lang w:val="el-GR"/>
        </w:rPr>
      </w:pPr>
    </w:p>
    <w:p w:rsidR="00543A6F" w:rsidRDefault="00543A6F">
      <w:pPr>
        <w:spacing w:line="360" w:lineRule="auto"/>
        <w:ind w:firstLine="284"/>
        <w:jc w:val="both"/>
        <w:rPr>
          <w:lang w:val="el-GR"/>
        </w:rPr>
      </w:pPr>
    </w:p>
    <w:p w:rsidR="00543A6F" w:rsidRDefault="00543A6F">
      <w:pPr>
        <w:spacing w:line="360" w:lineRule="auto"/>
        <w:ind w:firstLine="284"/>
        <w:jc w:val="both"/>
        <w:rPr>
          <w:lang w:val="el-GR"/>
        </w:rPr>
      </w:pPr>
    </w:p>
    <w:p w:rsidR="00543A6F" w:rsidRDefault="007F1302">
      <w:pPr>
        <w:spacing w:line="360" w:lineRule="auto"/>
        <w:ind w:firstLine="284"/>
        <w:jc w:val="both"/>
        <w:rPr>
          <w:lang w:val="el-GR"/>
        </w:rPr>
      </w:pPr>
      <w:r>
        <w:rPr>
          <w:noProof/>
          <w:lang w:val="el-GR"/>
        </w:rPr>
        <w:drawing>
          <wp:inline distT="0" distB="0" distL="114300" distR="114300">
            <wp:extent cx="5306695" cy="3554730"/>
            <wp:effectExtent l="0" t="0" r="8255" b="7620"/>
            <wp:docPr id="6" name="Picture 6" descr="Εικ.1ΙΗ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Εικ.1ΙΗ197"/>
                    <pic:cNvPicPr>
                      <a:picLocks noChangeAspect="1"/>
                    </pic:cNvPicPr>
                  </pic:nvPicPr>
                  <pic:blipFill>
                    <a:blip r:embed="rId10"/>
                    <a:stretch>
                      <a:fillRect/>
                    </a:stretch>
                  </pic:blipFill>
                  <pic:spPr>
                    <a:xfrm>
                      <a:off x="0" y="0"/>
                      <a:ext cx="5306695" cy="3554730"/>
                    </a:xfrm>
                    <a:prstGeom prst="rect">
                      <a:avLst/>
                    </a:prstGeom>
                  </pic:spPr>
                </pic:pic>
              </a:graphicData>
            </a:graphic>
          </wp:inline>
        </w:drawing>
      </w:r>
    </w:p>
    <w:p w:rsidR="00543A6F" w:rsidRDefault="007F1302">
      <w:pPr>
        <w:spacing w:line="360" w:lineRule="auto"/>
        <w:jc w:val="both"/>
        <w:rPr>
          <w:lang w:val="el-GR"/>
        </w:rPr>
      </w:pPr>
      <w:r>
        <w:rPr>
          <w:lang w:val="el-GR"/>
        </w:rPr>
        <w:t>Φίλιπποι, Εγνατία οδός στο ύψος του Οκταγώνου (</w:t>
      </w:r>
      <w:r w:rsidRPr="007F1302">
        <w:rPr>
          <w:lang w:val="el-GR"/>
        </w:rPr>
        <w:t>Αρχείο 12</w:t>
      </w:r>
      <w:r w:rsidRPr="007F1302">
        <w:rPr>
          <w:vertAlign w:val="superscript"/>
          <w:lang w:val="el-GR"/>
        </w:rPr>
        <w:t>ης</w:t>
      </w:r>
      <w:r w:rsidRPr="007F1302">
        <w:rPr>
          <w:lang w:val="el-GR"/>
        </w:rPr>
        <w:t xml:space="preserve"> Εφορείας Βυζαντινών Αρχαιοτ</w:t>
      </w:r>
      <w:r w:rsidRPr="007F1302">
        <w:rPr>
          <w:lang w:val="el-GR"/>
        </w:rPr>
        <w:t>ήτων</w:t>
      </w:r>
      <w:r>
        <w:rPr>
          <w:lang w:val="el-GR"/>
        </w:rPr>
        <w:t>/ΥΠΠΟΑ)</w:t>
      </w:r>
    </w:p>
    <w:p w:rsidR="00543A6F" w:rsidRDefault="00543A6F">
      <w:pPr>
        <w:spacing w:line="360" w:lineRule="auto"/>
        <w:ind w:firstLine="284"/>
        <w:jc w:val="both"/>
        <w:rPr>
          <w:lang w:val="el-GR"/>
        </w:rPr>
      </w:pPr>
    </w:p>
    <w:p w:rsidR="00543A6F" w:rsidRDefault="007F1302">
      <w:pPr>
        <w:spacing w:line="360" w:lineRule="auto"/>
        <w:ind w:firstLine="284"/>
        <w:jc w:val="both"/>
        <w:rPr>
          <w:lang w:val="el-GR"/>
        </w:rPr>
      </w:pPr>
      <w:r>
        <w:rPr>
          <w:noProof/>
          <w:lang w:val="el-GR"/>
        </w:rPr>
        <w:drawing>
          <wp:inline distT="0" distB="0" distL="114300" distR="114300">
            <wp:extent cx="3472180" cy="3336925"/>
            <wp:effectExtent l="0" t="0" r="13970" b="15875"/>
            <wp:docPr id="5" name="Picture 5" descr="εγνατια _ροδόπη-Εβρ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εγνατια _ροδόπη-Εβρος"/>
                    <pic:cNvPicPr>
                      <a:picLocks noChangeAspect="1"/>
                    </pic:cNvPicPr>
                  </pic:nvPicPr>
                  <pic:blipFill>
                    <a:blip r:embed="rId11"/>
                    <a:stretch>
                      <a:fillRect/>
                    </a:stretch>
                  </pic:blipFill>
                  <pic:spPr>
                    <a:xfrm>
                      <a:off x="0" y="0"/>
                      <a:ext cx="3472180" cy="3336925"/>
                    </a:xfrm>
                    <a:prstGeom prst="rect">
                      <a:avLst/>
                    </a:prstGeom>
                  </pic:spPr>
                </pic:pic>
              </a:graphicData>
            </a:graphic>
          </wp:inline>
        </w:drawing>
      </w:r>
    </w:p>
    <w:p w:rsidR="00543A6F" w:rsidRDefault="007F1302">
      <w:pPr>
        <w:spacing w:line="360" w:lineRule="auto"/>
        <w:jc w:val="both"/>
        <w:rPr>
          <w:sz w:val="24"/>
          <w:szCs w:val="24"/>
          <w:lang w:val="el-GR"/>
        </w:rPr>
      </w:pPr>
      <w:r>
        <w:rPr>
          <w:sz w:val="24"/>
          <w:szCs w:val="24"/>
          <w:lang w:val="el-GR"/>
        </w:rPr>
        <w:t>Σωζόμενο τμήμα της Εγνατίας Οδού μεταξύ των Νομών Ροδόπης και Έβρου (odysseus.culture.gr / ΥΠΠΟΑ)</w:t>
      </w:r>
    </w:p>
    <w:p w:rsidR="00543A6F" w:rsidRDefault="00543A6F">
      <w:pPr>
        <w:spacing w:line="360" w:lineRule="auto"/>
        <w:ind w:firstLine="284"/>
        <w:jc w:val="both"/>
        <w:rPr>
          <w:lang w:val="el-GR"/>
        </w:rPr>
      </w:pPr>
    </w:p>
    <w:p w:rsidR="00543A6F" w:rsidRDefault="007F1302">
      <w:pPr>
        <w:spacing w:line="360" w:lineRule="auto"/>
        <w:ind w:firstLine="284"/>
        <w:jc w:val="both"/>
        <w:rPr>
          <w:lang w:val="el-GR"/>
        </w:rPr>
      </w:pPr>
      <w:r>
        <w:rPr>
          <w:noProof/>
          <w:lang w:val="el-GR"/>
        </w:rPr>
        <w:drawing>
          <wp:inline distT="0" distB="0" distL="114300" distR="114300">
            <wp:extent cx="3447415" cy="2291080"/>
            <wp:effectExtent l="0" t="0" r="635" b="13970"/>
            <wp:docPr id="7" name="Picture 7" descr="Αναστασιούπολη-Περιθέωριον_οδυσσέ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Αναστασιούπολη-Περιθέωριον_οδυσσέας"/>
                    <pic:cNvPicPr>
                      <a:picLocks noChangeAspect="1"/>
                    </pic:cNvPicPr>
                  </pic:nvPicPr>
                  <pic:blipFill>
                    <a:blip r:embed="rId12"/>
                    <a:stretch>
                      <a:fillRect/>
                    </a:stretch>
                  </pic:blipFill>
                  <pic:spPr>
                    <a:xfrm>
                      <a:off x="0" y="0"/>
                      <a:ext cx="3447415" cy="2291080"/>
                    </a:xfrm>
                    <a:prstGeom prst="rect">
                      <a:avLst/>
                    </a:prstGeom>
                  </pic:spPr>
                </pic:pic>
              </a:graphicData>
            </a:graphic>
          </wp:inline>
        </w:drawing>
      </w:r>
    </w:p>
    <w:p w:rsidR="00543A6F" w:rsidRDefault="007F1302">
      <w:pPr>
        <w:spacing w:line="360" w:lineRule="auto"/>
        <w:jc w:val="both"/>
        <w:rPr>
          <w:sz w:val="24"/>
          <w:szCs w:val="24"/>
          <w:lang w:val="el-GR"/>
        </w:rPr>
      </w:pPr>
      <w:proofErr w:type="spellStart"/>
      <w:r>
        <w:rPr>
          <w:sz w:val="24"/>
          <w:szCs w:val="24"/>
          <w:lang w:val="el-GR"/>
        </w:rPr>
        <w:t>Αναστασιούπολη-Περιθεώριον</w:t>
      </w:r>
      <w:proofErr w:type="spellEnd"/>
      <w:r>
        <w:rPr>
          <w:sz w:val="24"/>
          <w:szCs w:val="24"/>
          <w:lang w:val="el-GR"/>
        </w:rPr>
        <w:t>, οχυρωματικός περίβολος με σωζόμενο πύργο (odysseus.culture.gr / ΥΠΠΟΑ)</w:t>
      </w:r>
    </w:p>
    <w:sectPr w:rsidR="00543A6F">
      <w:headerReference w:type="default" r:id="rId13"/>
      <w:footerReference w:type="default" r:id="rId14"/>
      <w:pgSz w:w="11907" w:h="16840"/>
      <w:pgMar w:top="1418"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1302">
      <w:r>
        <w:separator/>
      </w:r>
    </w:p>
  </w:endnote>
  <w:endnote w:type="continuationSeparator" w:id="0">
    <w:p w:rsidR="00000000" w:rsidRDefault="007F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charset w:val="00"/>
    <w:family w:val="auto"/>
    <w:pitch w:val="default"/>
  </w:font>
  <w:font w:name="Academy Engraved LET">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6F" w:rsidRDefault="007F1302">
    <w:pPr>
      <w:pStyle w:val="a8"/>
      <w:tabs>
        <w:tab w:val="clear" w:pos="4153"/>
        <w:tab w:val="center" w:pos="2552"/>
      </w:tabs>
      <w:jc w:val="center"/>
    </w:pPr>
    <w:r>
      <w:rPr>
        <w:noProof/>
        <w:lang w:val="el-GR"/>
      </w:rPr>
      <w:drawing>
        <wp:inline distT="0" distB="0" distL="0" distR="0">
          <wp:extent cx="1386205" cy="419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lang w:val="el-GR"/>
      </w:rPr>
      <w:drawing>
        <wp:inline distT="0" distB="0" distL="0" distR="0">
          <wp:extent cx="2256155" cy="4152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p w:rsidR="00543A6F" w:rsidRDefault="00543A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1302">
      <w:r>
        <w:separator/>
      </w:r>
    </w:p>
  </w:footnote>
  <w:footnote w:type="continuationSeparator" w:id="0">
    <w:p w:rsidR="00000000" w:rsidRDefault="007F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6F" w:rsidRDefault="007F1302">
    <w:pPr>
      <w:pStyle w:val="a9"/>
      <w:rPr>
        <w:rFonts w:ascii="Times New Roman" w:hAnsi="Times New Roman"/>
        <w:sz w:val="20"/>
      </w:rPr>
    </w:pPr>
    <w:r>
      <w:rPr>
        <w:rFonts w:ascii="Times New Roman" w:hAnsi="Times New Roman"/>
        <w:noProof/>
        <w:sz w:val="20"/>
        <w:lang w:val="el-GR"/>
      </w:rPr>
      <w:drawing>
        <wp:inline distT="0" distB="0" distL="0" distR="0">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6725" cy="438150"/>
                  </a:xfrm>
                  <a:prstGeom prst="rect">
                    <a:avLst/>
                  </a:prstGeom>
                  <a:noFill/>
                  <a:ln>
                    <a:noFill/>
                  </a:ln>
                </pic:spPr>
              </pic:pic>
            </a:graphicData>
          </a:graphic>
        </wp:inline>
      </w:drawing>
    </w:r>
  </w:p>
  <w:p w:rsidR="00543A6F" w:rsidRDefault="007F1302">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 xml:space="preserve">ΕΛΛΗΝΙΚΗ ΔΗΜΟΚΡΑΤΙΑ </w:t>
    </w:r>
    <w:r>
      <w:rPr>
        <w:rFonts w:ascii="Times New Roman" w:hAnsi="Times New Roman"/>
        <w:sz w:val="18"/>
        <w:szCs w:val="18"/>
        <w:lang w:val="el-GR"/>
      </w:rPr>
      <w:tab/>
    </w:r>
    <w:r>
      <w:rPr>
        <w:rFonts w:ascii="Times New Roman" w:hAnsi="Times New Roman"/>
        <w:sz w:val="18"/>
        <w:szCs w:val="18"/>
        <w:lang w:val="el-GR"/>
      </w:rPr>
      <w:tab/>
      <w:t xml:space="preserve">Γενική  Διεύθυνση  Αρχαιοτήτων </w:t>
    </w:r>
  </w:p>
  <w:p w:rsidR="00543A6F" w:rsidRDefault="007F1302">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Υπουργείο Πολιτισμού και Αθλητισμού</w:t>
    </w:r>
    <w:r>
      <w:rPr>
        <w:rFonts w:ascii="Times New Roman" w:hAnsi="Times New Roman"/>
        <w:sz w:val="18"/>
        <w:szCs w:val="18"/>
        <w:lang w:val="el-GR"/>
      </w:rPr>
      <w:tab/>
      <w:t xml:space="preserve"> </w:t>
    </w:r>
    <w:r>
      <w:rPr>
        <w:rFonts w:ascii="Times New Roman" w:hAnsi="Times New Roman"/>
        <w:sz w:val="18"/>
        <w:szCs w:val="18"/>
        <w:lang w:val="el-GR"/>
      </w:rPr>
      <w:tab/>
      <w:t>&amp; Πολιτιστικής Κληρονομιάς</w:t>
    </w:r>
  </w:p>
  <w:p w:rsidR="00543A6F" w:rsidRDefault="007F1302" w:rsidP="007F1302">
    <w:pPr>
      <w:pStyle w:val="a9"/>
      <w:jc w:val="right"/>
      <w:rPr>
        <w:rFonts w:ascii="Times New Roman" w:hAnsi="Times New Roman"/>
        <w:sz w:val="18"/>
        <w:szCs w:val="18"/>
      </w:rPr>
    </w:pPr>
    <w:r>
      <w:rPr>
        <w:rFonts w:ascii="Times New Roman" w:hAnsi="Times New Roman"/>
        <w:sz w:val="18"/>
        <w:szCs w:val="18"/>
        <w:lang w:val="el-GR"/>
      </w:rPr>
      <w:t>Διεύθυνση</w:t>
    </w:r>
    <w:r>
      <w:rPr>
        <w:rFonts w:ascii="Times New Roman" w:hAnsi="Times New Roman"/>
        <w:sz w:val="18"/>
        <w:szCs w:val="18"/>
      </w:rPr>
      <w:t xml:space="preserve"> </w:t>
    </w:r>
    <w:r>
      <w:rPr>
        <w:rFonts w:ascii="Times New Roman" w:hAnsi="Times New Roman"/>
        <w:sz w:val="18"/>
        <w:szCs w:val="18"/>
        <w:lang w:val="el-GR"/>
      </w:rPr>
      <w:t>Βυζαντινών</w:t>
    </w:r>
    <w:r>
      <w:rPr>
        <w:rFonts w:ascii="Times New Roman" w:hAnsi="Times New Roman"/>
        <w:sz w:val="18"/>
        <w:szCs w:val="18"/>
      </w:rPr>
      <w:t xml:space="preserve"> &amp; </w:t>
    </w:r>
    <w:r>
      <w:rPr>
        <w:rFonts w:ascii="Times New Roman" w:hAnsi="Times New Roman"/>
        <w:sz w:val="18"/>
        <w:szCs w:val="18"/>
        <w:lang w:val="el-GR"/>
      </w:rPr>
      <w:t>Μεταβυζαντινών</w:t>
    </w:r>
    <w:r>
      <w:rPr>
        <w:rFonts w:ascii="Times New Roman" w:hAnsi="Times New Roman"/>
        <w:sz w:val="18"/>
        <w:szCs w:val="18"/>
      </w:rPr>
      <w:t xml:space="preserve"> </w:t>
    </w:r>
    <w:r>
      <w:rPr>
        <w:rFonts w:ascii="Times New Roman" w:hAnsi="Times New Roman"/>
        <w:sz w:val="18"/>
        <w:szCs w:val="18"/>
        <w:lang w:val="el-GR"/>
      </w:rPr>
      <w:t>Αρχαιοτήτων</w:t>
    </w:r>
  </w:p>
  <w:p w:rsidR="00543A6F" w:rsidRDefault="00543A6F">
    <w:pPr>
      <w:pStyle w:val="a9"/>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F8"/>
    <w:rsid w:val="000011CE"/>
    <w:rsid w:val="00021F31"/>
    <w:rsid w:val="00025361"/>
    <w:rsid w:val="000264DB"/>
    <w:rsid w:val="00026EA9"/>
    <w:rsid w:val="0005647B"/>
    <w:rsid w:val="000855A6"/>
    <w:rsid w:val="00095851"/>
    <w:rsid w:val="000A4C5E"/>
    <w:rsid w:val="000B0B9B"/>
    <w:rsid w:val="000C5E31"/>
    <w:rsid w:val="000E605F"/>
    <w:rsid w:val="000F0712"/>
    <w:rsid w:val="0013259E"/>
    <w:rsid w:val="00136051"/>
    <w:rsid w:val="001367EC"/>
    <w:rsid w:val="00143D3E"/>
    <w:rsid w:val="00161602"/>
    <w:rsid w:val="00171B37"/>
    <w:rsid w:val="00172A27"/>
    <w:rsid w:val="001A3A25"/>
    <w:rsid w:val="001B21A4"/>
    <w:rsid w:val="001C2790"/>
    <w:rsid w:val="001C4A90"/>
    <w:rsid w:val="001D37F9"/>
    <w:rsid w:val="001E4C9E"/>
    <w:rsid w:val="00202210"/>
    <w:rsid w:val="002213DF"/>
    <w:rsid w:val="00224C53"/>
    <w:rsid w:val="00225FD3"/>
    <w:rsid w:val="00226B01"/>
    <w:rsid w:val="00241A55"/>
    <w:rsid w:val="00253AC2"/>
    <w:rsid w:val="002E7A61"/>
    <w:rsid w:val="002F1BCC"/>
    <w:rsid w:val="00305699"/>
    <w:rsid w:val="003306E8"/>
    <w:rsid w:val="003509D1"/>
    <w:rsid w:val="0035275C"/>
    <w:rsid w:val="00356E94"/>
    <w:rsid w:val="00376A2E"/>
    <w:rsid w:val="0038234D"/>
    <w:rsid w:val="003876F8"/>
    <w:rsid w:val="003A361A"/>
    <w:rsid w:val="003A73F7"/>
    <w:rsid w:val="003B5176"/>
    <w:rsid w:val="003C733D"/>
    <w:rsid w:val="00423458"/>
    <w:rsid w:val="0044602A"/>
    <w:rsid w:val="0046515E"/>
    <w:rsid w:val="004843BE"/>
    <w:rsid w:val="004B092B"/>
    <w:rsid w:val="004F19EC"/>
    <w:rsid w:val="004F1DC3"/>
    <w:rsid w:val="004F5815"/>
    <w:rsid w:val="00501030"/>
    <w:rsid w:val="00520B0F"/>
    <w:rsid w:val="005314CD"/>
    <w:rsid w:val="00543A6F"/>
    <w:rsid w:val="00545D0A"/>
    <w:rsid w:val="00557646"/>
    <w:rsid w:val="00574B9A"/>
    <w:rsid w:val="0058139F"/>
    <w:rsid w:val="00616107"/>
    <w:rsid w:val="00625A67"/>
    <w:rsid w:val="006277A8"/>
    <w:rsid w:val="00632454"/>
    <w:rsid w:val="00657FAC"/>
    <w:rsid w:val="00670166"/>
    <w:rsid w:val="0068074C"/>
    <w:rsid w:val="00686C0F"/>
    <w:rsid w:val="00695D3C"/>
    <w:rsid w:val="006A5A84"/>
    <w:rsid w:val="006B4ADF"/>
    <w:rsid w:val="006D112D"/>
    <w:rsid w:val="006D1687"/>
    <w:rsid w:val="00700E82"/>
    <w:rsid w:val="007076DF"/>
    <w:rsid w:val="00707DA8"/>
    <w:rsid w:val="007260D8"/>
    <w:rsid w:val="0072620C"/>
    <w:rsid w:val="00736628"/>
    <w:rsid w:val="00740804"/>
    <w:rsid w:val="00744F42"/>
    <w:rsid w:val="0075448A"/>
    <w:rsid w:val="00762785"/>
    <w:rsid w:val="007A27DA"/>
    <w:rsid w:val="007A3E8E"/>
    <w:rsid w:val="007B0367"/>
    <w:rsid w:val="007B1CC8"/>
    <w:rsid w:val="007B4BBB"/>
    <w:rsid w:val="007B62C1"/>
    <w:rsid w:val="007E5E9E"/>
    <w:rsid w:val="007F1302"/>
    <w:rsid w:val="0080655E"/>
    <w:rsid w:val="0081442A"/>
    <w:rsid w:val="00823354"/>
    <w:rsid w:val="008308CD"/>
    <w:rsid w:val="0083639F"/>
    <w:rsid w:val="00864E0B"/>
    <w:rsid w:val="008674B7"/>
    <w:rsid w:val="00872C82"/>
    <w:rsid w:val="0088025E"/>
    <w:rsid w:val="00883F18"/>
    <w:rsid w:val="00885F16"/>
    <w:rsid w:val="0089452A"/>
    <w:rsid w:val="008A23E2"/>
    <w:rsid w:val="008A2678"/>
    <w:rsid w:val="008B4B6C"/>
    <w:rsid w:val="008C42B3"/>
    <w:rsid w:val="008F3E7E"/>
    <w:rsid w:val="008F4AB9"/>
    <w:rsid w:val="009571ED"/>
    <w:rsid w:val="0096476C"/>
    <w:rsid w:val="00965421"/>
    <w:rsid w:val="009737EF"/>
    <w:rsid w:val="00986710"/>
    <w:rsid w:val="009B6ACF"/>
    <w:rsid w:val="009E1BFC"/>
    <w:rsid w:val="00A2040B"/>
    <w:rsid w:val="00A20A44"/>
    <w:rsid w:val="00A268B0"/>
    <w:rsid w:val="00A343F0"/>
    <w:rsid w:val="00A354EA"/>
    <w:rsid w:val="00A35AD9"/>
    <w:rsid w:val="00A63394"/>
    <w:rsid w:val="00A63465"/>
    <w:rsid w:val="00A6367D"/>
    <w:rsid w:val="00AA0FC7"/>
    <w:rsid w:val="00AB6076"/>
    <w:rsid w:val="00AC2E8E"/>
    <w:rsid w:val="00AC5A07"/>
    <w:rsid w:val="00AD0E90"/>
    <w:rsid w:val="00AD3C48"/>
    <w:rsid w:val="00AD4C72"/>
    <w:rsid w:val="00AF7716"/>
    <w:rsid w:val="00B1612D"/>
    <w:rsid w:val="00B23125"/>
    <w:rsid w:val="00B36976"/>
    <w:rsid w:val="00B527A4"/>
    <w:rsid w:val="00B566F5"/>
    <w:rsid w:val="00B56775"/>
    <w:rsid w:val="00B70833"/>
    <w:rsid w:val="00B83BFB"/>
    <w:rsid w:val="00B94DDC"/>
    <w:rsid w:val="00BB48E6"/>
    <w:rsid w:val="00BD6A7C"/>
    <w:rsid w:val="00BF5236"/>
    <w:rsid w:val="00C1482C"/>
    <w:rsid w:val="00C15559"/>
    <w:rsid w:val="00C50D3A"/>
    <w:rsid w:val="00C67E41"/>
    <w:rsid w:val="00C7525B"/>
    <w:rsid w:val="00C819FD"/>
    <w:rsid w:val="00C9576D"/>
    <w:rsid w:val="00CD002F"/>
    <w:rsid w:val="00CD0A63"/>
    <w:rsid w:val="00D04043"/>
    <w:rsid w:val="00D16653"/>
    <w:rsid w:val="00D36A50"/>
    <w:rsid w:val="00D86851"/>
    <w:rsid w:val="00D915B1"/>
    <w:rsid w:val="00D96866"/>
    <w:rsid w:val="00DB2D02"/>
    <w:rsid w:val="00DF1DB8"/>
    <w:rsid w:val="00E0345F"/>
    <w:rsid w:val="00E07F2F"/>
    <w:rsid w:val="00E1063B"/>
    <w:rsid w:val="00E13672"/>
    <w:rsid w:val="00E441B4"/>
    <w:rsid w:val="00E523DD"/>
    <w:rsid w:val="00E648F4"/>
    <w:rsid w:val="00E83392"/>
    <w:rsid w:val="00E96B02"/>
    <w:rsid w:val="00EA6CA1"/>
    <w:rsid w:val="00EC2CC7"/>
    <w:rsid w:val="00EC3402"/>
    <w:rsid w:val="00F04DE8"/>
    <w:rsid w:val="00F172D3"/>
    <w:rsid w:val="00F20C72"/>
    <w:rsid w:val="00F42B05"/>
    <w:rsid w:val="00F44674"/>
    <w:rsid w:val="00F54B84"/>
    <w:rsid w:val="00F56929"/>
    <w:rsid w:val="00F73751"/>
    <w:rsid w:val="00F90B74"/>
    <w:rsid w:val="00FB5C90"/>
    <w:rsid w:val="036146BC"/>
    <w:rsid w:val="050D3610"/>
    <w:rsid w:val="0E8A23E7"/>
    <w:rsid w:val="137604FE"/>
    <w:rsid w:val="2BB03BA9"/>
    <w:rsid w:val="310540DD"/>
    <w:rsid w:val="3DE379B2"/>
    <w:rsid w:val="3DFB3631"/>
    <w:rsid w:val="40AE326C"/>
    <w:rsid w:val="42637BD9"/>
    <w:rsid w:val="4A65128D"/>
    <w:rsid w:val="4C245117"/>
    <w:rsid w:val="56DC7106"/>
    <w:rsid w:val="57D86D3E"/>
    <w:rsid w:val="59416845"/>
    <w:rsid w:val="5BAA41F6"/>
    <w:rsid w:val="61214E9E"/>
    <w:rsid w:val="61FC593E"/>
    <w:rsid w:val="62284966"/>
    <w:rsid w:val="68716E71"/>
    <w:rsid w:val="6B025220"/>
    <w:rsid w:val="71025602"/>
    <w:rsid w:val="71D72AEB"/>
    <w:rsid w:val="75EA3127"/>
    <w:rsid w:val="79CE5A29"/>
    <w:rsid w:val="7EB641E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48B7A"/>
  <w15:docId w15:val="{6F4C8A62-6619-4A63-97AA-2C1E7713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2"/>
      <w:lang w:val="en-GB"/>
    </w:rPr>
  </w:style>
  <w:style w:type="paragraph" w:styleId="2">
    <w:name w:val="heading 2"/>
    <w:basedOn w:val="a"/>
    <w:next w:val="a"/>
    <w:qFormat/>
    <w:pPr>
      <w:keepNext/>
      <w:shd w:val="clear" w:color="auto" w:fill="FFFFFF"/>
      <w:tabs>
        <w:tab w:val="left" w:pos="1134"/>
        <w:tab w:val="left" w:pos="4678"/>
      </w:tabs>
      <w:outlineLvl w:val="1"/>
    </w:pPr>
    <w:rPr>
      <w:rFonts w:ascii="Arial" w:hAnsi="Arial"/>
      <w:i/>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a4">
    <w:name w:val="Body Text"/>
    <w:basedOn w:val="a"/>
    <w:qFormat/>
    <w:pPr>
      <w:shd w:val="clear" w:color="auto" w:fill="FFFFFF"/>
      <w:tabs>
        <w:tab w:val="left" w:pos="1134"/>
      </w:tabs>
    </w:pPr>
    <w:rPr>
      <w:rFonts w:ascii="Arial" w:hAnsi="Arial"/>
      <w:sz w:val="18"/>
      <w:lang w:val="el-GR"/>
    </w:rPr>
  </w:style>
  <w:style w:type="paragraph" w:styleId="20">
    <w:name w:val="Body Text Indent 2"/>
    <w:basedOn w:val="a"/>
    <w:link w:val="2Char"/>
    <w:uiPriority w:val="99"/>
    <w:semiHidden/>
    <w:unhideWhenUsed/>
    <w:qFormat/>
    <w:pPr>
      <w:spacing w:after="120" w:line="480" w:lineRule="auto"/>
      <w:ind w:left="283"/>
    </w:pPr>
  </w:style>
  <w:style w:type="character" w:styleId="a5">
    <w:name w:val="annotation reference"/>
    <w:basedOn w:val="a0"/>
    <w:uiPriority w:val="99"/>
    <w:semiHidden/>
    <w:unhideWhenUsed/>
    <w:qFormat/>
    <w:rPr>
      <w:sz w:val="16"/>
      <w:szCs w:val="16"/>
    </w:rPr>
  </w:style>
  <w:style w:type="paragraph" w:styleId="a6">
    <w:name w:val="annotation text"/>
    <w:basedOn w:val="a"/>
    <w:link w:val="Char0"/>
    <w:uiPriority w:val="99"/>
    <w:semiHidden/>
    <w:unhideWhenUsed/>
    <w:qFormat/>
    <w:rPr>
      <w:sz w:val="20"/>
    </w:rPr>
  </w:style>
  <w:style w:type="paragraph" w:styleId="a7">
    <w:name w:val="annotation subject"/>
    <w:basedOn w:val="a6"/>
    <w:next w:val="a6"/>
    <w:link w:val="Char1"/>
    <w:uiPriority w:val="99"/>
    <w:semiHidden/>
    <w:unhideWhenUsed/>
    <w:qFormat/>
    <w:rPr>
      <w:b/>
      <w:bCs/>
    </w:rPr>
  </w:style>
  <w:style w:type="paragraph" w:styleId="a8">
    <w:name w:val="footer"/>
    <w:basedOn w:val="a"/>
    <w:link w:val="Char2"/>
    <w:uiPriority w:val="99"/>
    <w:unhideWhenUsed/>
    <w:qFormat/>
    <w:pPr>
      <w:tabs>
        <w:tab w:val="center" w:pos="4153"/>
        <w:tab w:val="right" w:pos="8306"/>
      </w:tabs>
    </w:pPr>
  </w:style>
  <w:style w:type="paragraph" w:styleId="a9">
    <w:name w:val="header"/>
    <w:basedOn w:val="a"/>
    <w:link w:val="Char3"/>
    <w:uiPriority w:val="99"/>
    <w:qFormat/>
    <w:pPr>
      <w:tabs>
        <w:tab w:val="center" w:pos="4153"/>
        <w:tab w:val="right" w:pos="8306"/>
      </w:tabs>
    </w:pPr>
    <w:rPr>
      <w:rFonts w:ascii="UB-Helvetica" w:hAnsi="UB-Helvetica"/>
      <w:lang w:val="en-US"/>
    </w:rPr>
  </w:style>
  <w:style w:type="character" w:styleId="-">
    <w:name w:val="Hyperlink"/>
    <w:basedOn w:val="a0"/>
    <w:uiPriority w:val="99"/>
    <w:qFormat/>
    <w:rPr>
      <w:color w:val="0000FF"/>
      <w:u w:val="single"/>
    </w:rPr>
  </w:style>
  <w:style w:type="paragraph" w:styleId="Web">
    <w:name w:val="Normal (Web)"/>
    <w:uiPriority w:val="99"/>
    <w:semiHidden/>
    <w:unhideWhenUsed/>
    <w:qFormat/>
    <w:pPr>
      <w:spacing w:beforeAutospacing="1" w:afterAutospacing="1"/>
    </w:pPr>
    <w:rPr>
      <w:rFonts w:ascii="SimSun" w:hAnsi="SimSun"/>
      <w:sz w:val="24"/>
      <w:szCs w:val="24"/>
      <w:lang w:val="en-US" w:eastAsia="zh-CN"/>
    </w:rPr>
  </w:style>
  <w:style w:type="table" w:styleId="aa">
    <w:name w:val="Table Grid"/>
    <w:basedOn w:val="a1"/>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39203b103c303b903ba03ccchar">
    <w:name w:val="dash0392_03b1_03c3_03b9_03ba_03cc__char"/>
    <w:basedOn w:val="a0"/>
    <w:qFormat/>
  </w:style>
  <w:style w:type="paragraph" w:customStyle="1" w:styleId="dash039203b103c303b903ba03cc">
    <w:name w:val="dash0392_03b1_03c3_03b9_03ba_03cc"/>
    <w:basedOn w:val="a"/>
    <w:qFormat/>
    <w:pPr>
      <w:spacing w:before="100" w:beforeAutospacing="1" w:after="100" w:afterAutospacing="1"/>
    </w:pPr>
    <w:rPr>
      <w:sz w:val="24"/>
      <w:szCs w:val="24"/>
      <w:lang w:val="el-GR"/>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qFormat/>
    <w:pPr>
      <w:spacing w:after="160" w:line="240" w:lineRule="exact"/>
    </w:pPr>
    <w:rPr>
      <w:rFonts w:ascii="Arial" w:hAnsi="Arial"/>
      <w:sz w:val="20"/>
      <w:lang w:val="en-US" w:eastAsia="en-US"/>
    </w:rPr>
  </w:style>
  <w:style w:type="character" w:customStyle="1" w:styleId="2Char">
    <w:name w:val="Σώμα κείμενου με εσοχή 2 Char"/>
    <w:basedOn w:val="a0"/>
    <w:link w:val="20"/>
    <w:uiPriority w:val="99"/>
    <w:semiHidden/>
    <w:qFormat/>
    <w:rPr>
      <w:rFonts w:ascii="Times New Roman" w:hAnsi="Times New Roman"/>
      <w:sz w:val="22"/>
      <w:lang w:val="en-GB"/>
    </w:rPr>
  </w:style>
  <w:style w:type="character" w:customStyle="1" w:styleId="Char">
    <w:name w:val="Κείμενο πλαισίου Char"/>
    <w:basedOn w:val="a0"/>
    <w:link w:val="a3"/>
    <w:uiPriority w:val="99"/>
    <w:semiHidden/>
    <w:qFormat/>
    <w:rPr>
      <w:rFonts w:ascii="Tahoma" w:hAnsi="Tahoma" w:cs="Tahoma"/>
      <w:sz w:val="16"/>
      <w:szCs w:val="16"/>
      <w:lang w:val="en-GB"/>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Char2">
    <w:name w:val="Υποσέλιδο Char"/>
    <w:basedOn w:val="a0"/>
    <w:link w:val="a8"/>
    <w:uiPriority w:val="99"/>
    <w:qFormat/>
    <w:rPr>
      <w:rFonts w:ascii="Times New Roman" w:hAnsi="Times New Roman"/>
      <w:sz w:val="22"/>
      <w:lang w:val="en-GB"/>
    </w:rPr>
  </w:style>
  <w:style w:type="paragraph" w:styleId="ab">
    <w:name w:val="List Paragraph"/>
    <w:basedOn w:val="a"/>
    <w:uiPriority w:val="34"/>
    <w:qFormat/>
    <w:pPr>
      <w:ind w:left="720"/>
      <w:contextualSpacing/>
    </w:pPr>
  </w:style>
  <w:style w:type="character" w:customStyle="1" w:styleId="Char3">
    <w:name w:val="Κεφαλίδα Char"/>
    <w:basedOn w:val="a0"/>
    <w:link w:val="a9"/>
    <w:uiPriority w:val="99"/>
    <w:qFormat/>
    <w:rPr>
      <w:rFonts w:ascii="UB-Helvetica" w:hAnsi="UB-Helvetica"/>
      <w:sz w:val="22"/>
      <w:lang w:val="en-US"/>
    </w:rPr>
  </w:style>
  <w:style w:type="paragraph" w:customStyle="1" w:styleId="1">
    <w:name w:val="Χωρίς διάστιχο1"/>
    <w:qFormat/>
    <w:rPr>
      <w:rFonts w:ascii="Academy Engraved LET" w:eastAsia="ヒラギノ角ゴ Pro W3" w:hAnsi="Academy Engraved LET"/>
      <w:color w:val="000000"/>
      <w:sz w:val="22"/>
      <w:lang w:val="en-US"/>
    </w:rPr>
  </w:style>
  <w:style w:type="paragraph" w:styleId="ac">
    <w:name w:val="No Spacing"/>
    <w:uiPriority w:val="1"/>
    <w:qFormat/>
    <w:rPr>
      <w:rFonts w:eastAsia="Times New Roman"/>
      <w:sz w:val="22"/>
      <w:lang w:val="en-GB"/>
    </w:rPr>
  </w:style>
  <w:style w:type="character" w:customStyle="1" w:styleId="Char0">
    <w:name w:val="Κείμενο σχολίου Char"/>
    <w:basedOn w:val="a0"/>
    <w:link w:val="a6"/>
    <w:uiPriority w:val="99"/>
    <w:semiHidden/>
    <w:qFormat/>
    <w:rPr>
      <w:rFonts w:ascii="Times New Roman" w:hAnsi="Times New Roman"/>
      <w:lang w:val="en-GB"/>
    </w:rPr>
  </w:style>
  <w:style w:type="character" w:customStyle="1" w:styleId="Char1">
    <w:name w:val="Θέμα σχολίου Char"/>
    <w:basedOn w:val="Char0"/>
    <w:link w:val="a7"/>
    <w:uiPriority w:val="99"/>
    <w:semiHidden/>
    <w:qFormat/>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49C05-1488-4902-99EE-7BA4A4246205}"/>
</file>

<file path=customXml/itemProps2.xml><?xml version="1.0" encoding="utf-8"?>
<ds:datastoreItem xmlns:ds="http://schemas.openxmlformats.org/officeDocument/2006/customXml" ds:itemID="{5315CCBB-B799-43E5-9735-40A8BD98FFD8}"/>
</file>

<file path=customXml/itemProps3.xml><?xml version="1.0" encoding="utf-8"?>
<ds:datastoreItem xmlns:ds="http://schemas.openxmlformats.org/officeDocument/2006/customXml" ds:itemID="{61793E29-0AEA-4C8A-8424-1B670CEE9E8A}"/>
</file>

<file path=customXml/itemProps4.xml><?xml version="1.0" encoding="utf-8"?>
<ds:datastoreItem xmlns:ds="http://schemas.openxmlformats.org/officeDocument/2006/customXml" ds:itemID="{6DF6181F-B284-4FB0-A21A-9ABB0C5EB77F}"/>
</file>

<file path=docProps/app.xml><?xml version="1.0" encoding="utf-8"?>
<Properties xmlns="http://schemas.openxmlformats.org/officeDocument/2006/extended-properties" xmlns:vt="http://schemas.openxmlformats.org/officeDocument/2006/docPropsVTypes">
  <Template>Normal</Template>
  <TotalTime>3</TotalTime>
  <Pages>4</Pages>
  <Words>576</Words>
  <Characters>3716</Characters>
  <Application>Microsoft Office Word</Application>
  <DocSecurity>0</DocSecurity>
  <Lines>30</Lines>
  <Paragraphs>8</Paragraphs>
  <ScaleCrop>false</ScaleCrop>
  <Company>9th EFORIA</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9η ΕΦΟΡΕΙΑ ΒΥΖΑΝΤΙΝΩΝ ΑΡΧΑΙΟΤΗΤΩΝ</dc:creator>
  <cp:lastModifiedBy>Thanos Giannopoulos</cp:lastModifiedBy>
  <cp:revision>9</cp:revision>
  <cp:lastPrinted>2022-06-08T09:04:00Z</cp:lastPrinted>
  <dcterms:created xsi:type="dcterms:W3CDTF">2022-06-08T09:04:00Z</dcterms:created>
  <dcterms:modified xsi:type="dcterms:W3CDTF">2022-06-30T12:07:00Z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KSOProductBuildVer">
    <vt:lpwstr>1033-11.2.0.11156</vt:lpwstr>
  </property>
  <property fmtid="{D5CDD505-2E9C-101B-9397-08002B2CF9AE}" pid="4" name="ICV">
    <vt:lpwstr>C32519F153BE4304A378AFB4B6E5D7C7</vt:lpwstr>
  </property>
</Properties>
</file>