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C3" w:rsidRPr="00204057" w:rsidRDefault="006C65C3" w:rsidP="007415AE">
      <w:pPr>
        <w:spacing w:line="360" w:lineRule="auto"/>
        <w:jc w:val="both"/>
        <w:rPr>
          <w:b/>
          <w:lang w:val="en-US"/>
        </w:rPr>
      </w:pPr>
    </w:p>
    <w:p w:rsidR="0034123A" w:rsidRDefault="00626FE1" w:rsidP="00BA5B47">
      <w:pPr>
        <w:spacing w:before="120" w:after="0" w:line="360" w:lineRule="auto"/>
        <w:jc w:val="both"/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</w:pP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“</w:t>
      </w:r>
      <w:r w:rsidR="00B01FA8" w:rsidRPr="00B01FA8">
        <w:t xml:space="preserve"> </w:t>
      </w:r>
      <w:r w:rsidR="00B01FA8" w:rsidRPr="00B01FA8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SUB. 7.2.2 - Θεσσαλονίκη: Αποκατάσταση του λουτρού Μπέη Χαμάμ ("Λουτρά Παράδεισος")</w:t>
      </w: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”</w:t>
      </w:r>
    </w:p>
    <w:p w:rsidR="00626FE1" w:rsidRPr="00626FE1" w:rsidRDefault="00626FE1" w:rsidP="00626FE1">
      <w:pPr>
        <w:spacing w:before="120" w:after="0" w:line="360" w:lineRule="auto"/>
        <w:jc w:val="both"/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</w:pPr>
    </w:p>
    <w:p w:rsidR="00BB1FA9" w:rsidRDefault="00994D49" w:rsidP="00BA5B47">
      <w:pPr>
        <w:spacing w:line="360" w:lineRule="auto"/>
        <w:jc w:val="both"/>
      </w:pPr>
      <w:r w:rsidRPr="00857872">
        <w:t xml:space="preserve">Το έργο </w:t>
      </w:r>
      <w:r w:rsidR="00073BE7">
        <w:t>«</w:t>
      </w:r>
      <w:r w:rsidR="00B01FA8" w:rsidRPr="00B01FA8">
        <w:t>SUB. 7.2.2 - Θεσσαλονίκη: Αποκατάσταση του λουτρού Μπέη Χαμάμ ("Λουτρά Παράδεισος")</w:t>
      </w:r>
      <w:r w:rsidR="00153C25">
        <w:t>»</w:t>
      </w:r>
      <w:r w:rsidR="00073BE7">
        <w:t xml:space="preserve"> με κωδικό ΟΠΣ ΤΑ </w:t>
      </w:r>
      <w:r w:rsidR="00B01FA8">
        <w:t>5150270</w:t>
      </w:r>
      <w:r w:rsidR="00073BE7">
        <w:t xml:space="preserve"> </w:t>
      </w:r>
      <w:r w:rsidR="00BB1FA9">
        <w:t xml:space="preserve">έχει ενταχθεί στο Ταμείο Ανάκαμψης και Ανθεκτικότητας, το οποίο χρηματοδοτείται από την Ευρωπαϊκή Ένωση – </w:t>
      </w:r>
      <w:proofErr w:type="spellStart"/>
      <w:r w:rsidR="00BB1FA9">
        <w:t>NextGeneration</w:t>
      </w:r>
      <w:proofErr w:type="spellEnd"/>
      <w:r w:rsidR="00BB1FA9">
        <w:t xml:space="preserve"> EU, με συνολική δημόσια δαπάνη ύψους </w:t>
      </w:r>
      <w:r w:rsidR="00B01FA8">
        <w:t>1.</w:t>
      </w:r>
      <w:bookmarkStart w:id="0" w:name="_GoBack"/>
      <w:bookmarkEnd w:id="0"/>
      <w:r w:rsidR="00BA5B47">
        <w:t>500.000</w:t>
      </w:r>
      <w:r w:rsidR="00BB1FA9">
        <w:t>€.</w:t>
      </w:r>
    </w:p>
    <w:p w:rsidR="00B01FA8" w:rsidRDefault="005E48F3" w:rsidP="00BC75A0">
      <w:pPr>
        <w:spacing w:before="120" w:after="0" w:line="360" w:lineRule="auto"/>
        <w:jc w:val="both"/>
      </w:pPr>
      <w:r>
        <w:t>Στο πλαίσιο του έργου θα υλοποιηθούν</w:t>
      </w:r>
      <w:r w:rsidR="00B01FA8">
        <w:t>:</w:t>
      </w:r>
    </w:p>
    <w:p w:rsidR="00B01FA8" w:rsidRDefault="00B01FA8" w:rsidP="00B01FA8">
      <w:pPr>
        <w:spacing w:before="120" w:after="0" w:line="360" w:lineRule="auto"/>
        <w:jc w:val="both"/>
      </w:pPr>
      <w:r>
        <w:t>Το φυσικό αντικείμενου του έργου αφορά στην Αποκατάσταση του λουτρού Μπέη Χαμάμ ("Λουτρά Παράδεισος") και περιλαμβάνει:</w:t>
      </w:r>
    </w:p>
    <w:p w:rsidR="00B01FA8" w:rsidRDefault="00B01FA8" w:rsidP="00B01FA8">
      <w:pPr>
        <w:spacing w:before="120" w:after="0" w:line="360" w:lineRule="auto"/>
        <w:jc w:val="both"/>
      </w:pPr>
      <w:r>
        <w:t>1. Εκπόνηση μελετών:</w:t>
      </w:r>
    </w:p>
    <w:p w:rsidR="00B01FA8" w:rsidRDefault="00B01FA8" w:rsidP="00B01FA8">
      <w:pPr>
        <w:spacing w:before="120" w:after="0" w:line="360" w:lineRule="auto"/>
        <w:jc w:val="both"/>
      </w:pPr>
      <w:r>
        <w:t>1.1. μελέτη εφαρμογής αρχιτεκτονικής αποκατάστασης,</w:t>
      </w:r>
    </w:p>
    <w:p w:rsidR="00B01FA8" w:rsidRDefault="00B01FA8" w:rsidP="00B01FA8">
      <w:pPr>
        <w:spacing w:before="120" w:after="0" w:line="360" w:lineRule="auto"/>
        <w:jc w:val="both"/>
      </w:pPr>
      <w:r>
        <w:t>1.2. μελέτη εφαρμογής αποκατάστασης βλαβών, επεμβάσεων, ενισχύσεων στο φέροντα οργανισμού,</w:t>
      </w:r>
    </w:p>
    <w:p w:rsidR="00B01FA8" w:rsidRDefault="00B01FA8" w:rsidP="00B01FA8">
      <w:pPr>
        <w:spacing w:before="120" w:after="0" w:line="360" w:lineRule="auto"/>
        <w:jc w:val="both"/>
      </w:pPr>
      <w:r>
        <w:t>1.3. ηλεκτρομηχανολογική μελέτη εφαρμογής (εγκατάστασης ισχυρών και ασθενών ρευμάτων, εξαερισμού, πυροπροστασίας, φωτισμού, υδραυλικών).</w:t>
      </w:r>
    </w:p>
    <w:p w:rsidR="00B01FA8" w:rsidRDefault="00B01FA8" w:rsidP="00B01FA8">
      <w:pPr>
        <w:spacing w:before="120" w:after="0" w:line="360" w:lineRule="auto"/>
        <w:jc w:val="both"/>
      </w:pPr>
      <w:r>
        <w:t>1.4. μελέτη ανάλυσης υλικών δομής.</w:t>
      </w:r>
    </w:p>
    <w:p w:rsidR="00B01FA8" w:rsidRDefault="00B01FA8" w:rsidP="00B01FA8">
      <w:pPr>
        <w:spacing w:before="120" w:after="0" w:line="360" w:lineRule="auto"/>
        <w:jc w:val="both"/>
      </w:pPr>
      <w:r>
        <w:t>2. Εργασίες για την αποκατάσταση του μνημείου και του περιβάλλοντος χώρου του, στο πλαίσιο των οποίων προβλέπονται τα παρακάτω:</w:t>
      </w:r>
    </w:p>
    <w:p w:rsidR="00B01FA8" w:rsidRDefault="00B01FA8" w:rsidP="00B01FA8">
      <w:pPr>
        <w:spacing w:before="120" w:after="0" w:line="360" w:lineRule="auto"/>
        <w:jc w:val="both"/>
      </w:pPr>
      <w:r>
        <w:t>2.1. Αποκατάσταση ευάλωτων περιοχών στέγης.</w:t>
      </w:r>
    </w:p>
    <w:p w:rsidR="00B01FA8" w:rsidRDefault="00B01FA8" w:rsidP="00B01FA8">
      <w:pPr>
        <w:spacing w:before="120" w:after="0" w:line="360" w:lineRule="auto"/>
        <w:jc w:val="both"/>
      </w:pPr>
      <w:r>
        <w:t>2.2. Καθαρισμός και συντήρηση των τοιχοποιιών του μνημείου από περιβαλλοντικούς ρύπους &amp; υγρασία, με στόχο την ελαχιστοποίηση των επιπτώσεων κλιματικών</w:t>
      </w:r>
    </w:p>
    <w:p w:rsidR="00B01FA8" w:rsidRDefault="00B01FA8" w:rsidP="00B01FA8">
      <w:pPr>
        <w:spacing w:before="120" w:after="0" w:line="360" w:lineRule="auto"/>
        <w:jc w:val="both"/>
      </w:pPr>
      <w:r>
        <w:t>και περιβαλλοντικών παραμέτρων που επιταχύνουν την φθορά των υλικών στις όψεις/κέλυφος και στον εσωτερικό χώρο.</w:t>
      </w:r>
    </w:p>
    <w:p w:rsidR="00B01FA8" w:rsidRDefault="00B01FA8" w:rsidP="00B01FA8">
      <w:pPr>
        <w:spacing w:before="120" w:after="0" w:line="360" w:lineRule="auto"/>
        <w:jc w:val="both"/>
      </w:pPr>
      <w:r>
        <w:t xml:space="preserve">2.3. Αποκατάσταση και συντήρηση των εσωτερικών δαπέδων του μνημείου και της προς </w:t>
      </w:r>
      <w:proofErr w:type="spellStart"/>
      <w:r>
        <w:t>ανατολάς</w:t>
      </w:r>
      <w:proofErr w:type="spellEnd"/>
      <w:r>
        <w:t xml:space="preserve"> προσθήκης του.</w:t>
      </w:r>
    </w:p>
    <w:p w:rsidR="00B01FA8" w:rsidRDefault="00B01FA8" w:rsidP="00B01FA8">
      <w:pPr>
        <w:spacing w:before="120" w:after="0" w:line="360" w:lineRule="auto"/>
        <w:jc w:val="both"/>
      </w:pPr>
      <w:r>
        <w:t>2.4. Εργασίες ελέγχου συμμόρφωσης βασικών επεμβάσεων στον φέροντα οργανισμό που έγιναν μετά το 1978, όπως ενέματα, αρμολογήματα, κατάσταση διατήρησης</w:t>
      </w:r>
    </w:p>
    <w:p w:rsidR="00B01FA8" w:rsidRDefault="00B01FA8" w:rsidP="00B01FA8">
      <w:pPr>
        <w:spacing w:before="120" w:after="0" w:line="360" w:lineRule="auto"/>
        <w:jc w:val="both"/>
      </w:pPr>
      <w:r>
        <w:lastRenderedPageBreak/>
        <w:t>των μεταλλικών δακτυλίων κ.ά.</w:t>
      </w:r>
    </w:p>
    <w:p w:rsidR="00B01FA8" w:rsidRDefault="00B01FA8" w:rsidP="00B01FA8">
      <w:pPr>
        <w:spacing w:before="120" w:after="0" w:line="360" w:lineRule="auto"/>
        <w:jc w:val="both"/>
      </w:pPr>
      <w:r>
        <w:t>2.5. Εργασίες αποκατάστασης βλαβών στο φέροντα οργανισμό και υλοποίηση εξειδικευμένων επεμβάσεων ενίσχυσης φέροντα οργανισμού.</w:t>
      </w:r>
    </w:p>
    <w:p w:rsidR="00B01FA8" w:rsidRDefault="00B01FA8" w:rsidP="00B01FA8">
      <w:pPr>
        <w:spacing w:before="120" w:after="0" w:line="360" w:lineRule="auto"/>
        <w:jc w:val="both"/>
      </w:pPr>
      <w:r>
        <w:t>2.6. Έλεγχος και λειτουργική αποκατάσταση δικτύου ύδρευσης και αποχέτευσης.</w:t>
      </w:r>
    </w:p>
    <w:p w:rsidR="00B01FA8" w:rsidRDefault="00B01FA8" w:rsidP="00B01FA8">
      <w:pPr>
        <w:spacing w:before="120" w:after="0" w:line="360" w:lineRule="auto"/>
        <w:jc w:val="both"/>
      </w:pPr>
      <w:r>
        <w:t>2.7. Τοποθέτηση ηλεκτρομηχανολογικού εξοπλισμού στο μνημείο και τον περιβάλλοντα χώρο.</w:t>
      </w:r>
    </w:p>
    <w:p w:rsidR="00B01FA8" w:rsidRDefault="00B01FA8" w:rsidP="00B01FA8">
      <w:pPr>
        <w:spacing w:before="120" w:after="0" w:line="360" w:lineRule="auto"/>
        <w:jc w:val="both"/>
      </w:pPr>
      <w:r>
        <w:t xml:space="preserve">2.8. Έλεγχος της υφιστάμενης αποστραγγιστικής τάφρου, βελτίωση δικτύου απομάκρυνσης των </w:t>
      </w:r>
      <w:proofErr w:type="spellStart"/>
      <w:r>
        <w:t>ομβρίων</w:t>
      </w:r>
      <w:proofErr w:type="spellEnd"/>
      <w:r>
        <w:t xml:space="preserve"> από το μνημείο και διαμόρφωση δικτύου αποχέτευσης στον</w:t>
      </w:r>
    </w:p>
    <w:p w:rsidR="00B01FA8" w:rsidRDefault="00B01FA8" w:rsidP="00B01FA8">
      <w:pPr>
        <w:spacing w:before="120" w:after="0" w:line="360" w:lineRule="auto"/>
        <w:jc w:val="both"/>
      </w:pPr>
      <w:r>
        <w:t>περιβάλλοντα χώρο.</w:t>
      </w:r>
    </w:p>
    <w:p w:rsidR="00B01FA8" w:rsidRDefault="00B01FA8" w:rsidP="00B01FA8">
      <w:pPr>
        <w:spacing w:before="120" w:after="0" w:line="360" w:lineRule="auto"/>
        <w:jc w:val="both"/>
      </w:pPr>
      <w:r>
        <w:t xml:space="preserve">3. Εργασίες συντήρησης τοιχογραφιών και μαρμάρινων, ξύλινων και μεταλλικών </w:t>
      </w:r>
      <w:proofErr w:type="spellStart"/>
      <w:r>
        <w:t>στοιχείων,στο</w:t>
      </w:r>
      <w:proofErr w:type="spellEnd"/>
      <w:r>
        <w:t xml:space="preserve"> πλαίσιο των οποίων προβλέπονται τα παρακάτω:</w:t>
      </w:r>
    </w:p>
    <w:p w:rsidR="00B01FA8" w:rsidRDefault="00B01FA8" w:rsidP="00B01FA8">
      <w:pPr>
        <w:spacing w:before="120" w:after="0" w:line="360" w:lineRule="auto"/>
        <w:jc w:val="both"/>
      </w:pPr>
      <w:r>
        <w:t>3.1. Συντήρηση του τοιχογραφικού διακόσμου</w:t>
      </w:r>
    </w:p>
    <w:p w:rsidR="00B01FA8" w:rsidRDefault="00B01FA8" w:rsidP="00B01FA8">
      <w:pPr>
        <w:spacing w:before="120" w:after="0" w:line="360" w:lineRule="auto"/>
        <w:jc w:val="both"/>
      </w:pPr>
      <w:r>
        <w:t>3.2. Συντήρηση μαρμάρινων αρχιτεκτονικών μελών (</w:t>
      </w:r>
      <w:proofErr w:type="spellStart"/>
      <w:r>
        <w:t>λεκανίδες</w:t>
      </w:r>
      <w:proofErr w:type="spellEnd"/>
      <w:r>
        <w:t xml:space="preserve"> κ.ά.).</w:t>
      </w:r>
    </w:p>
    <w:p w:rsidR="00B01FA8" w:rsidRDefault="00B01FA8" w:rsidP="00B01FA8">
      <w:pPr>
        <w:spacing w:before="120" w:after="0" w:line="360" w:lineRule="auto"/>
        <w:jc w:val="both"/>
      </w:pPr>
      <w:r>
        <w:t>3.3. Συντήρηση επιλεγμένων ξύλινων στοιχείων του μνημείου (θύρες, κιγκλιδώματα, κ.ά.)</w:t>
      </w:r>
    </w:p>
    <w:p w:rsidR="00B01FA8" w:rsidRDefault="00B01FA8" w:rsidP="00B01FA8">
      <w:pPr>
        <w:spacing w:before="120" w:after="0" w:line="360" w:lineRule="auto"/>
        <w:jc w:val="both"/>
      </w:pPr>
      <w:r>
        <w:t>3.4. Συντήρηση μεταλλικών στοιχείων του μνημείου (παλαιός εξοπλισμός ύδρευσης, κ.ά.)</w:t>
      </w:r>
    </w:p>
    <w:p w:rsidR="00B01FA8" w:rsidRDefault="00B01FA8" w:rsidP="00B01FA8">
      <w:pPr>
        <w:spacing w:before="120" w:after="0" w:line="360" w:lineRule="auto"/>
        <w:jc w:val="both"/>
      </w:pPr>
      <w:r>
        <w:t>4. Ενημέρωση-πληροφόρηση</w:t>
      </w:r>
    </w:p>
    <w:p w:rsidR="00B01FA8" w:rsidRDefault="00B01FA8" w:rsidP="00B01FA8">
      <w:pPr>
        <w:spacing w:before="120" w:after="0" w:line="360" w:lineRule="auto"/>
        <w:jc w:val="both"/>
      </w:pPr>
      <w:r>
        <w:t>4.1. Σχεδιασμός και τοποθέτηση ενημερωτικών πινακίδων.</w:t>
      </w:r>
    </w:p>
    <w:p w:rsidR="008C079B" w:rsidRDefault="00B01FA8" w:rsidP="00B01FA8">
      <w:pPr>
        <w:spacing w:before="120" w:after="0" w:line="360" w:lineRule="auto"/>
        <w:jc w:val="both"/>
      </w:pPr>
      <w:r>
        <w:t xml:space="preserve">4.2. Έκδοση ενημερωτικού εντύπου και σε γραφή </w:t>
      </w:r>
      <w:proofErr w:type="spellStart"/>
      <w:r>
        <w:t>braille</w:t>
      </w:r>
      <w:proofErr w:type="spellEnd"/>
      <w:r>
        <w:t>.</w:t>
      </w:r>
      <w:r w:rsidR="00BA5B47">
        <w:t>.</w:t>
      </w:r>
    </w:p>
    <w:p w:rsidR="00626FE1" w:rsidRPr="00626FE1" w:rsidRDefault="00626FE1" w:rsidP="005D6129">
      <w:pPr>
        <w:spacing w:before="120" w:after="0" w:line="360" w:lineRule="auto"/>
        <w:jc w:val="both"/>
        <w:rPr>
          <w:rFonts w:ascii="Arial" w:hAnsi="Arial" w:cs="Arial"/>
          <w:color w:val="003399"/>
          <w:sz w:val="24"/>
          <w:szCs w:val="24"/>
          <w:lang w:eastAsia="el-GR"/>
        </w:rPr>
      </w:pP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 xml:space="preserve">Το έργο/δράση υλοποιείται στο πλαίσιο του Εθνικού Σχεδίου Ανάκαμψης και Ανθεκτικότητας «Ελλάδα 2.0» με τη χρηματοδότηση της Ευρωπαϊκής Ένωσης – </w:t>
      </w:r>
      <w:proofErr w:type="spellStart"/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val="en-GB" w:eastAsia="el-GR"/>
        </w:rPr>
        <w:t>NextGenerationEU</w:t>
      </w:r>
      <w:proofErr w:type="spellEnd"/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.</w:t>
      </w:r>
    </w:p>
    <w:p w:rsidR="002006F5" w:rsidRDefault="002006F5" w:rsidP="007415AE">
      <w:pPr>
        <w:spacing w:line="360" w:lineRule="auto"/>
        <w:jc w:val="both"/>
      </w:pPr>
    </w:p>
    <w:p w:rsidR="00073BE7" w:rsidRDefault="00073BE7" w:rsidP="007415AE">
      <w:pPr>
        <w:spacing w:line="360" w:lineRule="auto"/>
        <w:jc w:val="both"/>
      </w:pPr>
    </w:p>
    <w:p w:rsidR="00073BE7" w:rsidRDefault="00073BE7" w:rsidP="007415AE">
      <w:pPr>
        <w:spacing w:line="360" w:lineRule="auto"/>
        <w:jc w:val="both"/>
      </w:pPr>
    </w:p>
    <w:p w:rsidR="00073BE7" w:rsidRDefault="00073BE7" w:rsidP="007415AE">
      <w:pPr>
        <w:spacing w:line="360" w:lineRule="auto"/>
        <w:jc w:val="both"/>
      </w:pPr>
    </w:p>
    <w:sectPr w:rsidR="00073BE7" w:rsidSect="006C65C3">
      <w:headerReference w:type="default" r:id="rId10"/>
      <w:footerReference w:type="default" r:id="rId11"/>
      <w:pgSz w:w="11906" w:h="16838"/>
      <w:pgMar w:top="426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6E" w:rsidRDefault="004C3C6E">
      <w:r>
        <w:separator/>
      </w:r>
    </w:p>
  </w:endnote>
  <w:endnote w:type="continuationSeparator" w:id="0">
    <w:p w:rsidR="004C3C6E" w:rsidRDefault="004C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11" w:rsidRDefault="004A0E9D" w:rsidP="00D63611">
    <w:pPr>
      <w:pStyle w:val="a4"/>
      <w:tabs>
        <w:tab w:val="clear" w:pos="4153"/>
        <w:tab w:val="center" w:pos="2552"/>
      </w:tabs>
      <w:jc w:val="center"/>
    </w:pPr>
    <w:r w:rsidRPr="00D1495D">
      <w:rPr>
        <w:noProof/>
        <w:lang w:eastAsia="el-GR"/>
      </w:rPr>
      <w:drawing>
        <wp:inline distT="0" distB="0" distL="0" distR="0">
          <wp:extent cx="1392555" cy="425450"/>
          <wp:effectExtent l="0" t="0" r="0" b="0"/>
          <wp:docPr id="10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495D">
      <w:rPr>
        <w:noProof/>
        <w:lang w:eastAsia="el-GR"/>
      </w:rPr>
      <w:drawing>
        <wp:inline distT="0" distB="0" distL="0" distR="0">
          <wp:extent cx="2254250" cy="414655"/>
          <wp:effectExtent l="0" t="0" r="0" b="0"/>
          <wp:docPr id="9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6E" w:rsidRDefault="004C3C6E">
      <w:r>
        <w:separator/>
      </w:r>
    </w:p>
  </w:footnote>
  <w:footnote w:type="continuationSeparator" w:id="0">
    <w:p w:rsidR="004C3C6E" w:rsidRDefault="004C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11" w:rsidRPr="00D86851" w:rsidRDefault="004A0E9D" w:rsidP="00D63611">
    <w:pPr>
      <w:pStyle w:val="a3"/>
      <w:rPr>
        <w:rFonts w:ascii="Arial" w:hAnsi="Arial" w:cs="Arial"/>
        <w:noProof/>
        <w:sz w:val="20"/>
      </w:rPr>
    </w:pPr>
    <w:r w:rsidRPr="00D63611">
      <w:rPr>
        <w:rFonts w:ascii="Arial" w:hAnsi="Arial" w:cs="Arial"/>
        <w:noProof/>
        <w:sz w:val="20"/>
        <w:lang w:eastAsia="el-GR"/>
      </w:rPr>
      <w:drawing>
        <wp:inline distT="0" distB="0" distL="0" distR="0">
          <wp:extent cx="467995" cy="436245"/>
          <wp:effectExtent l="0" t="0" r="0" b="0"/>
          <wp:docPr id="7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611" w:rsidRPr="00D86851" w:rsidRDefault="00D63611" w:rsidP="00D63611">
    <w:pPr>
      <w:pStyle w:val="a3"/>
      <w:tabs>
        <w:tab w:val="clear" w:pos="8306"/>
        <w:tab w:val="right" w:pos="9072"/>
      </w:tabs>
      <w:rPr>
        <w:rFonts w:ascii="Arial" w:hAnsi="Arial" w:cs="Arial"/>
        <w:noProof/>
        <w:sz w:val="20"/>
      </w:rPr>
    </w:pPr>
    <w:r w:rsidRPr="00D86851">
      <w:rPr>
        <w:rFonts w:ascii="Arial" w:hAnsi="Arial" w:cs="Arial"/>
        <w:noProof/>
        <w:sz w:val="20"/>
      </w:rPr>
      <w:t xml:space="preserve">ΕΛΛΗΝΙΚΗ ΔΗΜΟΚΡΑΤΙΑ </w:t>
    </w:r>
    <w:r w:rsidRPr="00D86851">
      <w:rPr>
        <w:rFonts w:ascii="Arial" w:hAnsi="Arial" w:cs="Arial"/>
        <w:noProof/>
        <w:sz w:val="20"/>
      </w:rPr>
      <w:tab/>
    </w:r>
    <w:r w:rsidRPr="00D86851">
      <w:rPr>
        <w:rFonts w:ascii="Arial" w:hAnsi="Arial" w:cs="Arial"/>
        <w:noProof/>
        <w:sz w:val="20"/>
      </w:rPr>
      <w:tab/>
      <w:t xml:space="preserve"> </w:t>
    </w:r>
  </w:p>
  <w:p w:rsidR="00D63611" w:rsidRDefault="00D63611" w:rsidP="00D63611">
    <w:pPr>
      <w:pStyle w:val="a3"/>
      <w:tabs>
        <w:tab w:val="clear" w:pos="8306"/>
        <w:tab w:val="right" w:pos="9072"/>
      </w:tabs>
      <w:rPr>
        <w:rFonts w:ascii="Arial" w:hAnsi="Arial" w:cs="Arial"/>
        <w:noProof/>
        <w:sz w:val="20"/>
      </w:rPr>
    </w:pPr>
    <w:r w:rsidRPr="00D86851">
      <w:rPr>
        <w:rFonts w:ascii="Arial" w:hAnsi="Arial" w:cs="Arial"/>
        <w:noProof/>
        <w:sz w:val="20"/>
      </w:rPr>
      <w:t>Υπουργείο Πολιτισμού</w:t>
    </w:r>
    <w:r w:rsidRPr="00D86851">
      <w:rPr>
        <w:rFonts w:ascii="Arial" w:hAnsi="Arial" w:cs="Arial"/>
        <w:noProof/>
        <w:sz w:val="20"/>
      </w:rPr>
      <w:tab/>
      <w:t xml:space="preserve"> </w:t>
    </w:r>
    <w:r w:rsidRPr="00D86851">
      <w:rPr>
        <w:rFonts w:ascii="Arial" w:hAnsi="Arial" w:cs="Arial"/>
        <w:noProof/>
        <w:sz w:val="20"/>
      </w:rPr>
      <w:tab/>
    </w:r>
  </w:p>
  <w:p w:rsidR="0034123A" w:rsidRDefault="003412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26B"/>
    <w:multiLevelType w:val="hybridMultilevel"/>
    <w:tmpl w:val="1BAE44F6"/>
    <w:lvl w:ilvl="0" w:tplc="7B9C79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3F77"/>
    <w:multiLevelType w:val="hybridMultilevel"/>
    <w:tmpl w:val="F7E480D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7F9A"/>
    <w:multiLevelType w:val="multilevel"/>
    <w:tmpl w:val="2F3A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738C9"/>
    <w:multiLevelType w:val="hybridMultilevel"/>
    <w:tmpl w:val="7898F600"/>
    <w:lvl w:ilvl="0" w:tplc="91DE5E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214B4"/>
    <w:multiLevelType w:val="hybridMultilevel"/>
    <w:tmpl w:val="CE7C0A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2545C8"/>
    <w:multiLevelType w:val="hybridMultilevel"/>
    <w:tmpl w:val="AEA0E6CA"/>
    <w:lvl w:ilvl="0" w:tplc="7B9C791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F30F74"/>
    <w:multiLevelType w:val="hybridMultilevel"/>
    <w:tmpl w:val="6A64E250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93"/>
    <w:rsid w:val="00073BE7"/>
    <w:rsid w:val="00080D02"/>
    <w:rsid w:val="00087666"/>
    <w:rsid w:val="0012444B"/>
    <w:rsid w:val="00152492"/>
    <w:rsid w:val="00153C25"/>
    <w:rsid w:val="001638A6"/>
    <w:rsid w:val="001A2E97"/>
    <w:rsid w:val="001C63C9"/>
    <w:rsid w:val="001D301B"/>
    <w:rsid w:val="002006F5"/>
    <w:rsid w:val="00203875"/>
    <w:rsid w:val="00204057"/>
    <w:rsid w:val="002D6DDE"/>
    <w:rsid w:val="00340380"/>
    <w:rsid w:val="0034123A"/>
    <w:rsid w:val="00371693"/>
    <w:rsid w:val="003934A1"/>
    <w:rsid w:val="003E27A2"/>
    <w:rsid w:val="003E3E45"/>
    <w:rsid w:val="00471906"/>
    <w:rsid w:val="004861C9"/>
    <w:rsid w:val="004A0E9D"/>
    <w:rsid w:val="004C3C6E"/>
    <w:rsid w:val="005432AB"/>
    <w:rsid w:val="00572E57"/>
    <w:rsid w:val="0057529B"/>
    <w:rsid w:val="00585D4F"/>
    <w:rsid w:val="00596E36"/>
    <w:rsid w:val="005D6129"/>
    <w:rsid w:val="005E441D"/>
    <w:rsid w:val="005E48F3"/>
    <w:rsid w:val="00625510"/>
    <w:rsid w:val="00626FE1"/>
    <w:rsid w:val="0063541E"/>
    <w:rsid w:val="006750A1"/>
    <w:rsid w:val="0068672C"/>
    <w:rsid w:val="006869C6"/>
    <w:rsid w:val="006C65C3"/>
    <w:rsid w:val="006C7B39"/>
    <w:rsid w:val="007415AE"/>
    <w:rsid w:val="00746E00"/>
    <w:rsid w:val="00762729"/>
    <w:rsid w:val="007941C4"/>
    <w:rsid w:val="007B4777"/>
    <w:rsid w:val="007D31D3"/>
    <w:rsid w:val="00857872"/>
    <w:rsid w:val="00896A60"/>
    <w:rsid w:val="008C0343"/>
    <w:rsid w:val="008C079B"/>
    <w:rsid w:val="008C23D4"/>
    <w:rsid w:val="00933093"/>
    <w:rsid w:val="00977B72"/>
    <w:rsid w:val="0098345A"/>
    <w:rsid w:val="00987490"/>
    <w:rsid w:val="00994D49"/>
    <w:rsid w:val="00A32C2F"/>
    <w:rsid w:val="00A43AEA"/>
    <w:rsid w:val="00A70213"/>
    <w:rsid w:val="00A925A7"/>
    <w:rsid w:val="00AB7592"/>
    <w:rsid w:val="00AE264B"/>
    <w:rsid w:val="00B01FA8"/>
    <w:rsid w:val="00B07AD2"/>
    <w:rsid w:val="00B149D3"/>
    <w:rsid w:val="00B479D0"/>
    <w:rsid w:val="00B6008A"/>
    <w:rsid w:val="00B7059A"/>
    <w:rsid w:val="00BA5B47"/>
    <w:rsid w:val="00BB1FA9"/>
    <w:rsid w:val="00BC75A0"/>
    <w:rsid w:val="00C005DB"/>
    <w:rsid w:val="00C90550"/>
    <w:rsid w:val="00CE2572"/>
    <w:rsid w:val="00CE7BB8"/>
    <w:rsid w:val="00D00DAF"/>
    <w:rsid w:val="00D52580"/>
    <w:rsid w:val="00D63611"/>
    <w:rsid w:val="00D73ED2"/>
    <w:rsid w:val="00DA56D8"/>
    <w:rsid w:val="00DD69EB"/>
    <w:rsid w:val="00E01C62"/>
    <w:rsid w:val="00EB074F"/>
    <w:rsid w:val="00EC173D"/>
    <w:rsid w:val="00F3184E"/>
    <w:rsid w:val="00F35BBB"/>
    <w:rsid w:val="00F73D59"/>
    <w:rsid w:val="00FC48AD"/>
    <w:rsid w:val="00FE4D89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4776E37"/>
  <w15:chartTrackingRefBased/>
  <w15:docId w15:val="{8C2EBD3F-D6B3-4A96-A787-6991F1FE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9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locked/>
    <w:rsid w:val="00371693"/>
    <w:rPr>
      <w:rFonts w:ascii="Calibri" w:hAnsi="Calibri"/>
      <w:sz w:val="22"/>
      <w:szCs w:val="22"/>
      <w:lang w:val="el-GR" w:eastAsia="en-US" w:bidi="ar-SA"/>
    </w:rPr>
  </w:style>
  <w:style w:type="paragraph" w:styleId="a4">
    <w:name w:val="footer"/>
    <w:basedOn w:val="a"/>
    <w:link w:val="Char0"/>
    <w:uiPriority w:val="99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uiPriority w:val="99"/>
    <w:locked/>
    <w:rsid w:val="00371693"/>
    <w:rPr>
      <w:rFonts w:ascii="Calibri" w:hAnsi="Calibri"/>
      <w:sz w:val="22"/>
      <w:szCs w:val="22"/>
      <w:lang w:val="el-GR" w:eastAsia="en-US" w:bidi="ar-SA"/>
    </w:rPr>
  </w:style>
  <w:style w:type="paragraph" w:customStyle="1" w:styleId="Default">
    <w:name w:val="Default"/>
    <w:rsid w:val="003412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DBA56-06C2-49EA-9090-A90B8C5D6C96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DC5BA97-F6B1-47D9-B90E-8C4CFF161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79964-1927-4619-80CC-54E841F9A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«ΟΛΟΚΛΗΡΩΜΕΝΕΣ ΔΡΑΣΕΙΣ ΑΝΑΔΕΙΞΗΣ ΚΑΙ ΠΡΟΣΒΑΣΙΜΟΤΗΤΑΣ ΤΟΥ ΒΥΖΑΝΤΙΝΟΥ ΚΑΣΤΡΟΥ ΚΟΜΟΤΗΝΗΣ»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«ΟΛΟΚΛΗΡΩΜΕΝΕΣ ΔΡΑΣΕΙΣ ΑΝΑΔΕΙΞΗΣ ΚΑΙ ΠΡΟΣΒΑΣΙΜΟΤΗΤΑΣ ΤΟΥ ΒΥΖΑΝΤΙΝΟΥ ΚΑΣΤΡΟΥ ΚΟΜΟΤΗΝΗΣ»</dc:title>
  <dc:subject/>
  <dc:creator>EYTOP</dc:creator>
  <cp:keywords/>
  <cp:lastModifiedBy>SPHLIOPOULOU</cp:lastModifiedBy>
  <cp:revision>15</cp:revision>
  <dcterms:created xsi:type="dcterms:W3CDTF">2024-04-23T08:32:00Z</dcterms:created>
  <dcterms:modified xsi:type="dcterms:W3CDTF">2024-04-23T09:59:00Z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