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92A2" w14:textId="567EAA99" w:rsidR="004B344D" w:rsidRPr="000B7916" w:rsidRDefault="002E7E5E" w:rsidP="005D2E81">
      <w:pPr>
        <w:spacing w:before="120" w:line="360" w:lineRule="auto"/>
        <w:ind w:right="-1"/>
        <w:jc w:val="both"/>
        <w:rPr>
          <w:rFonts w:ascii="Arial" w:hAnsi="Arial" w:cs="Arial"/>
          <w:b/>
          <w:bCs/>
          <w:color w:val="003399"/>
          <w:szCs w:val="22"/>
          <w:shd w:val="clear" w:color="auto" w:fill="FFFFFF"/>
          <w:lang w:val="el-GR"/>
        </w:rPr>
      </w:pPr>
      <w:r>
        <w:rPr>
          <w:rFonts w:ascii="Arial" w:hAnsi="Arial" w:cs="Arial"/>
          <w:b/>
          <w:bCs/>
          <w:color w:val="003399"/>
          <w:szCs w:val="22"/>
          <w:shd w:val="clear" w:color="auto" w:fill="FFFFFF"/>
          <w:lang w:val="el-GR"/>
        </w:rPr>
        <w:t>ΑΝΑΒΑΘΜΙΣΗ ΚΑΙ ΕΚΣΥΓΧΡΟΝΙΣΜΟΣ</w:t>
      </w:r>
      <w:r w:rsidR="00CD2A7B">
        <w:rPr>
          <w:rFonts w:ascii="Arial" w:hAnsi="Arial" w:cs="Arial"/>
          <w:b/>
          <w:bCs/>
          <w:color w:val="003399"/>
          <w:szCs w:val="22"/>
          <w:shd w:val="clear" w:color="auto" w:fill="FFFFFF"/>
          <w:lang w:val="el-GR"/>
        </w:rPr>
        <w:t xml:space="preserve"> </w:t>
      </w:r>
      <w:r>
        <w:rPr>
          <w:rFonts w:ascii="Arial" w:hAnsi="Arial" w:cs="Arial"/>
          <w:b/>
          <w:bCs/>
          <w:color w:val="003399"/>
          <w:szCs w:val="22"/>
          <w:shd w:val="clear" w:color="auto" w:fill="FFFFFF"/>
          <w:lang w:val="el-GR"/>
        </w:rPr>
        <w:t>ΤΟΥ ΠΡΟΠΑΡΑΣΚΕΥΑΣΤΙΚΟΥ ΚΑΙ ΕΠΑΓΓΕΛΜΑΤΙΚΟΥ ΣΧΟΛΕΙΟΥ ΚΑΛΩΝ ΤΕΧΝΩΝ ΠΑΝΟΡΜΟΥ ΤΗΝΟΥ (ΠΕΣΚΤΠΤ)</w:t>
      </w:r>
    </w:p>
    <w:p w14:paraId="5C42175C" w14:textId="77777777" w:rsidR="004B344D" w:rsidRPr="000B7916" w:rsidRDefault="004B344D" w:rsidP="004B344D">
      <w:pPr>
        <w:spacing w:before="120" w:line="360" w:lineRule="auto"/>
        <w:ind w:right="-1"/>
        <w:jc w:val="both"/>
        <w:rPr>
          <w:rFonts w:ascii="Arial" w:hAnsi="Arial" w:cs="Arial"/>
          <w:b/>
          <w:bCs/>
          <w:color w:val="003399"/>
          <w:szCs w:val="22"/>
          <w:shd w:val="clear" w:color="auto" w:fill="FFFFFF"/>
          <w:lang w:val="el-GR"/>
        </w:rPr>
      </w:pPr>
    </w:p>
    <w:p w14:paraId="6E86FB56" w14:textId="4CAF1438" w:rsidR="004B344D" w:rsidRPr="00CD2A7B" w:rsidRDefault="004B344D" w:rsidP="004B344D">
      <w:pPr>
        <w:spacing w:line="276" w:lineRule="auto"/>
        <w:ind w:right="-1"/>
        <w:jc w:val="both"/>
        <w:rPr>
          <w:rFonts w:ascii="Arial" w:hAnsi="Arial" w:cs="Arial"/>
          <w:szCs w:val="22"/>
          <w:lang w:val="el-GR"/>
        </w:rPr>
      </w:pPr>
      <w:r w:rsidRPr="000B7916">
        <w:rPr>
          <w:rFonts w:ascii="Arial" w:hAnsi="Arial" w:cs="Arial"/>
          <w:szCs w:val="22"/>
          <w:lang w:val="el-GR"/>
        </w:rPr>
        <w:t>Το έργο «</w:t>
      </w:r>
      <w:r w:rsidR="002E7E5E" w:rsidRPr="002E7E5E">
        <w:rPr>
          <w:rFonts w:ascii="Arial" w:hAnsi="Arial" w:cs="Arial"/>
          <w:bCs/>
          <w:color w:val="000000" w:themeColor="text1"/>
          <w:szCs w:val="22"/>
          <w:shd w:val="clear" w:color="auto" w:fill="FFFFFF"/>
          <w:lang w:val="el-GR"/>
        </w:rPr>
        <w:t>ΑΝΑΒΑΘΜΙΣΗ ΚΑΙ ΕΚΣΥΓΧΡΟΝΙΣΜΟΣ ΤΟΥ ΠΡΟΠΑΡΑΣΚΕΥΑΣΤΙΚΟΥ ΚΑΙ ΕΠΑΓΓΕΛΜΑΤΙΚΟΥ ΣΧΟΛΕΙΟΥ ΚΑΛΩΝ ΤΕΧΝΩΝ ΠΑΝΟΡΜΟΥ ΤΗΝΟΥ (ΠΕΣΚΤΠΤ)</w:t>
      </w:r>
      <w:r w:rsidRPr="000B7916">
        <w:rPr>
          <w:rFonts w:ascii="Arial" w:hAnsi="Arial" w:cs="Arial"/>
          <w:szCs w:val="22"/>
          <w:lang w:val="el-GR"/>
        </w:rPr>
        <w:t xml:space="preserve">» με κωδικό ΟΠΣ ΤΑ </w:t>
      </w:r>
      <w:r w:rsidR="002E7E5E">
        <w:rPr>
          <w:rFonts w:ascii="Arial" w:hAnsi="Arial" w:cs="Arial"/>
          <w:szCs w:val="22"/>
          <w:lang w:val="el-GR"/>
        </w:rPr>
        <w:t>5202513</w:t>
      </w:r>
      <w:r w:rsidRPr="000B7916">
        <w:rPr>
          <w:rFonts w:ascii="Arial" w:hAnsi="Arial" w:cs="Arial"/>
          <w:szCs w:val="22"/>
          <w:lang w:val="el-GR"/>
        </w:rPr>
        <w:t xml:space="preserve"> έχει ενταχθεί στο Ταμείο Ανάκαμψης και Ανθεκτικότητας, το οποίο «χρηματοδοτείται από την Ευρωπαϊκή Ένωση – </w:t>
      </w:r>
      <w:proofErr w:type="spellStart"/>
      <w:r w:rsidRPr="000B7916">
        <w:rPr>
          <w:rFonts w:ascii="Arial" w:hAnsi="Arial" w:cs="Arial"/>
          <w:szCs w:val="22"/>
        </w:rPr>
        <w:t>NextGenerationEU</w:t>
      </w:r>
      <w:proofErr w:type="spellEnd"/>
      <w:r w:rsidRPr="000B7916">
        <w:rPr>
          <w:rFonts w:ascii="Arial" w:hAnsi="Arial" w:cs="Arial"/>
          <w:szCs w:val="22"/>
          <w:lang w:val="el-GR"/>
        </w:rPr>
        <w:t xml:space="preserve">» </w:t>
      </w:r>
      <w:r w:rsidR="00CD2A7B">
        <w:rPr>
          <w:rFonts w:ascii="Arial" w:hAnsi="Arial" w:cs="Arial"/>
          <w:szCs w:val="22"/>
          <w:lang w:val="el-GR"/>
        </w:rPr>
        <w:t>με συνολικό προϋπολογισμό</w:t>
      </w:r>
      <w:r w:rsidRPr="000B7916">
        <w:rPr>
          <w:rFonts w:ascii="Arial" w:hAnsi="Arial" w:cs="Arial"/>
          <w:szCs w:val="22"/>
          <w:lang w:val="el-GR"/>
        </w:rPr>
        <w:t xml:space="preserve"> </w:t>
      </w:r>
      <w:r w:rsidR="00CD2A7B" w:rsidRPr="00EB1CBB">
        <w:rPr>
          <w:rFonts w:ascii="Arial" w:hAnsi="Arial" w:cs="Arial"/>
          <w:szCs w:val="22"/>
          <w:lang w:val="el-GR"/>
        </w:rPr>
        <w:t>10.314.720,11 €.</w:t>
      </w:r>
    </w:p>
    <w:p w14:paraId="4B65070E" w14:textId="77777777" w:rsidR="002E7E5E" w:rsidRDefault="002E7E5E" w:rsidP="000B7916">
      <w:pPr>
        <w:spacing w:line="276" w:lineRule="auto"/>
        <w:ind w:right="-1"/>
        <w:jc w:val="both"/>
        <w:rPr>
          <w:rFonts w:ascii="Arial" w:hAnsi="Arial" w:cs="Arial"/>
          <w:szCs w:val="22"/>
          <w:lang w:val="el-GR"/>
        </w:rPr>
      </w:pPr>
    </w:p>
    <w:p w14:paraId="7DCC84D1" w14:textId="77777777" w:rsidR="004773DB" w:rsidRPr="007C6D84" w:rsidRDefault="004773DB" w:rsidP="004773DB">
      <w:pPr>
        <w:spacing w:before="10" w:line="240" w:lineRule="atLeast"/>
        <w:jc w:val="both"/>
        <w:textAlignment w:val="baseline"/>
        <w:rPr>
          <w:rFonts w:ascii="Arial" w:hAnsi="Arial" w:cs="Arial"/>
          <w:szCs w:val="22"/>
          <w:lang w:val="el-GR"/>
        </w:rPr>
      </w:pPr>
      <w:r w:rsidRPr="004773DB">
        <w:rPr>
          <w:rFonts w:ascii="Arial" w:hAnsi="Arial" w:cs="Arial"/>
          <w:szCs w:val="22"/>
          <w:lang w:val="el-GR"/>
        </w:rPr>
        <w:t>Το φυσικό αντικείμενο του έργου αφορά στην μελέτη και κατασκευή της επέκτασης των κτιριακών εγκαταστάσεων, του εκσυγχρονισμού των υφιστάμενων και της διαμόρφωσης του περιβάλλοντος χώρου του Προπαρασκευαστικού και Επαγγελματικού Σχολείου Καλών Τεχνών Πανόρμου Τήνου (ΠΕΣΚΤΠΤ).</w:t>
      </w:r>
    </w:p>
    <w:p w14:paraId="2A1032E0" w14:textId="77777777" w:rsidR="004773DB" w:rsidRPr="007C6D84" w:rsidRDefault="004773DB" w:rsidP="004773DB">
      <w:pPr>
        <w:spacing w:before="10" w:line="240" w:lineRule="atLeast"/>
        <w:jc w:val="both"/>
        <w:textAlignment w:val="baseline"/>
        <w:rPr>
          <w:rFonts w:ascii="Arial" w:hAnsi="Arial" w:cs="Arial"/>
          <w:szCs w:val="22"/>
          <w:lang w:val="el-GR"/>
        </w:rPr>
      </w:pPr>
    </w:p>
    <w:p w14:paraId="4A7C730C" w14:textId="77777777" w:rsidR="004773DB" w:rsidRPr="007C6D84" w:rsidRDefault="004773DB" w:rsidP="004773DB">
      <w:pPr>
        <w:spacing w:before="10" w:line="240" w:lineRule="atLeast"/>
        <w:jc w:val="both"/>
        <w:textAlignment w:val="baseline"/>
        <w:rPr>
          <w:rFonts w:ascii="Arial" w:hAnsi="Arial" w:cs="Arial"/>
          <w:szCs w:val="22"/>
          <w:lang w:val="el-GR"/>
        </w:rPr>
      </w:pPr>
      <w:r w:rsidRPr="004773DB">
        <w:rPr>
          <w:rFonts w:ascii="Arial" w:hAnsi="Arial" w:cs="Arial"/>
          <w:szCs w:val="22"/>
          <w:lang w:val="el-GR"/>
        </w:rPr>
        <w:t xml:space="preserve">Προβλέπεται η διατήρηση δύο εκ των υφιστάμενων κτιρίων, του κτιρίου Κ1, εμβαδού 199,65 τμ, που παραμένει ως εργαστήριο ζωγραφικής και αποθήκη, και του κτιρίου Κ2, εμβαδού 122,27 τμ, που μετατρέπεται σε χώρο συσσιτίου με προσθήκη ενός υπογείου για την χωροθέτηση των Η/Μ εγκαταστάσεων, εμβαδού 23,07 τμ. Στο νέο οικόπεδο γίνεται η χωροθέτηση δύο νέων κτιρίων εκπαιδευτικών χρήσεων, του κτιρίου Κ3, εμβαδού 1.577,94 τμ. όπου στεγάζονται τα εργαστήρια επεξεργασίας μαρμάρου, αίθουσα κόφτη, σιδηρουργείο-χυτήριο, ξυλουργείο και εργαστήριο </w:t>
      </w:r>
      <w:proofErr w:type="spellStart"/>
      <w:r w:rsidRPr="004773DB">
        <w:rPr>
          <w:rFonts w:ascii="Arial" w:hAnsi="Arial" w:cs="Arial"/>
          <w:szCs w:val="22"/>
          <w:lang w:val="el-GR"/>
        </w:rPr>
        <w:t>εκμαγεύσεων</w:t>
      </w:r>
      <w:proofErr w:type="spellEnd"/>
      <w:r w:rsidRPr="004773DB">
        <w:rPr>
          <w:rFonts w:ascii="Arial" w:hAnsi="Arial" w:cs="Arial"/>
          <w:szCs w:val="22"/>
          <w:lang w:val="el-GR"/>
        </w:rPr>
        <w:t xml:space="preserve"> και του κτιρίου Κ4, εμβαδού 859,07 τμ., όπου στεγάζονται εργαστήριο γλυπτικής, αίθουσα πολλαπλών χρήσεων και αρχιτεκτονικού σχεδίου, βιβλιοθήκη και γραφεία διοίκησης. Τα δύο νέα κτίρια δημιουργούν με τη </w:t>
      </w:r>
      <w:proofErr w:type="spellStart"/>
      <w:r w:rsidRPr="004773DB">
        <w:rPr>
          <w:rFonts w:ascii="Arial" w:hAnsi="Arial" w:cs="Arial"/>
          <w:szCs w:val="22"/>
          <w:lang w:val="el-GR"/>
        </w:rPr>
        <w:t>χωροθέτησή</w:t>
      </w:r>
      <w:proofErr w:type="spellEnd"/>
      <w:r w:rsidRPr="004773DB">
        <w:rPr>
          <w:rFonts w:ascii="Arial" w:hAnsi="Arial" w:cs="Arial"/>
          <w:szCs w:val="22"/>
          <w:lang w:val="el-GR"/>
        </w:rPr>
        <w:t xml:space="preserve"> τους μια νέα πλατεία, την πλατεία των μαρμάρων. </w:t>
      </w:r>
    </w:p>
    <w:p w14:paraId="23566BA1" w14:textId="77777777" w:rsidR="004773DB" w:rsidRPr="007C6D84" w:rsidRDefault="004773DB" w:rsidP="004773DB">
      <w:pPr>
        <w:spacing w:before="10" w:line="240" w:lineRule="atLeast"/>
        <w:jc w:val="both"/>
        <w:textAlignment w:val="baseline"/>
        <w:rPr>
          <w:rFonts w:ascii="Arial" w:hAnsi="Arial" w:cs="Arial"/>
          <w:szCs w:val="22"/>
          <w:lang w:val="el-GR"/>
        </w:rPr>
      </w:pPr>
    </w:p>
    <w:p w14:paraId="456BB1EA" w14:textId="77777777" w:rsidR="004773DB" w:rsidRPr="004773DB" w:rsidRDefault="004773DB" w:rsidP="004773DB">
      <w:pPr>
        <w:spacing w:before="10" w:line="240" w:lineRule="atLeast"/>
        <w:jc w:val="both"/>
        <w:textAlignment w:val="baseline"/>
        <w:rPr>
          <w:rFonts w:ascii="Arial" w:hAnsi="Arial" w:cs="Arial"/>
          <w:szCs w:val="22"/>
          <w:lang w:val="el-GR"/>
        </w:rPr>
      </w:pPr>
      <w:r w:rsidRPr="004773DB">
        <w:rPr>
          <w:rFonts w:ascii="Arial" w:hAnsi="Arial" w:cs="Arial"/>
          <w:szCs w:val="22"/>
          <w:lang w:val="el-GR"/>
        </w:rPr>
        <w:t xml:space="preserve">Ο προς διαμόρφωση περιβάλλων χώρος καταλαμβάνει συνολικά επιφάνεια εμβαδού 2.660,25 τμ. και περιλαμβάνει τους απαιτούμενους υπαίθριους και </w:t>
      </w:r>
      <w:proofErr w:type="spellStart"/>
      <w:r w:rsidRPr="004773DB">
        <w:rPr>
          <w:rFonts w:ascii="Arial" w:hAnsi="Arial" w:cs="Arial"/>
          <w:szCs w:val="22"/>
          <w:lang w:val="el-GR"/>
        </w:rPr>
        <w:t>ημιυπαίθριους</w:t>
      </w:r>
      <w:proofErr w:type="spellEnd"/>
      <w:r w:rsidRPr="004773DB">
        <w:rPr>
          <w:rFonts w:ascii="Arial" w:hAnsi="Arial" w:cs="Arial"/>
          <w:szCs w:val="22"/>
          <w:lang w:val="el-GR"/>
        </w:rPr>
        <w:t xml:space="preserve"> χώρους εκπαιδευτικών δραστηριοτήτων, χώρους πρασίνου και διαδρομές κίνησης.</w:t>
      </w:r>
    </w:p>
    <w:p w14:paraId="4F954136" w14:textId="77777777" w:rsidR="004773DB" w:rsidRPr="004773DB" w:rsidRDefault="004773DB" w:rsidP="004773DB">
      <w:pPr>
        <w:pStyle w:val="Textbodyindent"/>
        <w:ind w:firstLine="0"/>
        <w:textAlignment w:val="auto"/>
        <w:rPr>
          <w:szCs w:val="22"/>
          <w:lang w:val="el-GR"/>
        </w:rPr>
      </w:pPr>
      <w:r w:rsidRPr="004773DB">
        <w:rPr>
          <w:szCs w:val="22"/>
          <w:lang w:val="el-GR"/>
        </w:rPr>
        <w:t xml:space="preserve">Τόσο τα κτίρια όσο και ο περιβάλλον χώρος τους έχουν μελετηθεί με τρόπο που εξασφαλίζεται η καθολική προσβασιμότητα σε ΑμεΑ. </w:t>
      </w:r>
    </w:p>
    <w:p w14:paraId="2BF3A157" w14:textId="77777777" w:rsidR="004773DB" w:rsidRPr="004773DB" w:rsidRDefault="004773DB" w:rsidP="004773DB">
      <w:pPr>
        <w:pStyle w:val="Textbodyindent"/>
        <w:ind w:firstLine="0"/>
        <w:textAlignment w:val="auto"/>
        <w:rPr>
          <w:szCs w:val="22"/>
          <w:lang w:val="el-GR"/>
        </w:rPr>
      </w:pPr>
      <w:r w:rsidRPr="004773DB">
        <w:rPr>
          <w:szCs w:val="22"/>
          <w:lang w:val="el-GR"/>
        </w:rPr>
        <w:t>Για την υλοποίηση των ανωτέρω θα εκτελεστούν οικοδομικές και Η/Μ εργασίες.</w:t>
      </w:r>
    </w:p>
    <w:p w14:paraId="3C814F96" w14:textId="77777777" w:rsidR="004773DB" w:rsidRPr="004773DB" w:rsidRDefault="004773DB" w:rsidP="004773DB">
      <w:pPr>
        <w:ind w:right="-1"/>
        <w:rPr>
          <w:rFonts w:ascii="Arial" w:hAnsi="Arial" w:cs="Arial"/>
          <w:szCs w:val="22"/>
          <w:lang w:val="el-GR"/>
        </w:rPr>
      </w:pPr>
    </w:p>
    <w:p w14:paraId="47D7042F" w14:textId="77777777" w:rsidR="00512EEC" w:rsidRPr="004773DB" w:rsidRDefault="00512EEC" w:rsidP="000B7916">
      <w:pPr>
        <w:spacing w:line="276" w:lineRule="auto"/>
        <w:ind w:right="-1"/>
        <w:jc w:val="both"/>
        <w:rPr>
          <w:rFonts w:ascii="Arial" w:hAnsi="Arial" w:cs="Arial"/>
          <w:szCs w:val="22"/>
          <w:lang w:val="el-GR"/>
        </w:rPr>
      </w:pPr>
    </w:p>
    <w:p w14:paraId="1EC85EFC" w14:textId="77777777" w:rsidR="004B344D" w:rsidRPr="000B7916" w:rsidRDefault="004B344D" w:rsidP="004B344D">
      <w:pPr>
        <w:spacing w:before="120" w:line="360" w:lineRule="auto"/>
        <w:ind w:right="-1"/>
        <w:jc w:val="center"/>
        <w:rPr>
          <w:rFonts w:ascii="Arial" w:hAnsi="Arial" w:cs="Arial"/>
          <w:szCs w:val="22"/>
          <w:lang w:val="el-GR"/>
        </w:rPr>
      </w:pPr>
      <w:r w:rsidRPr="000B7916">
        <w:rPr>
          <w:rFonts w:ascii="Arial" w:hAnsi="Arial" w:cs="Arial"/>
          <w:b/>
          <w:bCs/>
          <w:color w:val="003399"/>
          <w:szCs w:val="22"/>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0B7916">
        <w:rPr>
          <w:rFonts w:ascii="Arial" w:hAnsi="Arial" w:cs="Arial"/>
          <w:b/>
          <w:bCs/>
          <w:color w:val="003399"/>
          <w:szCs w:val="22"/>
          <w:shd w:val="clear" w:color="auto" w:fill="FFFFFF"/>
        </w:rPr>
        <w:t>NextGenerationEU</w:t>
      </w:r>
      <w:proofErr w:type="spellEnd"/>
      <w:r w:rsidRPr="000B7916">
        <w:rPr>
          <w:rFonts w:ascii="Arial" w:hAnsi="Arial" w:cs="Arial"/>
          <w:b/>
          <w:bCs/>
          <w:color w:val="003399"/>
          <w:szCs w:val="22"/>
          <w:shd w:val="clear" w:color="auto" w:fill="FFFFFF"/>
          <w:lang w:val="el-GR"/>
        </w:rPr>
        <w:t>.</w:t>
      </w:r>
    </w:p>
    <w:p w14:paraId="07F0B035" w14:textId="77777777" w:rsidR="00965421" w:rsidRPr="000B7916" w:rsidRDefault="00965421" w:rsidP="004B344D">
      <w:pPr>
        <w:ind w:right="-1"/>
        <w:rPr>
          <w:rFonts w:ascii="Arial" w:hAnsi="Arial" w:cs="Arial"/>
          <w:szCs w:val="22"/>
          <w:lang w:val="el-GR"/>
        </w:rPr>
      </w:pPr>
    </w:p>
    <w:sectPr w:rsidR="00965421" w:rsidRPr="000B7916"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06DB6" w14:textId="77777777" w:rsidR="002E6FD0" w:rsidRDefault="002E6FD0" w:rsidP="00B527A4">
      <w:r>
        <w:separator/>
      </w:r>
    </w:p>
  </w:endnote>
  <w:endnote w:type="continuationSeparator" w:id="0">
    <w:p w14:paraId="15ECC331" w14:textId="77777777" w:rsidR="002E6FD0" w:rsidRDefault="002E6FD0"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Andale Sans UI">
    <w:altName w:val="Calibri"/>
    <w:charset w:val="00"/>
    <w:family w:val="auto"/>
    <w:pitch w:val="variable"/>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B458" w14:textId="77777777" w:rsidR="00B527A4" w:rsidRDefault="00B527A4" w:rsidP="008308CD">
    <w:pPr>
      <w:pStyle w:val="a7"/>
      <w:tabs>
        <w:tab w:val="clear" w:pos="4153"/>
        <w:tab w:val="center" w:pos="2552"/>
      </w:tabs>
      <w:jc w:val="center"/>
    </w:pPr>
    <w:r w:rsidRPr="000B7916">
      <w:rPr>
        <w:rFonts w:ascii="Arial" w:hAnsi="Arial" w:cs="Arial"/>
        <w:noProof/>
        <w:lang w:val="el-GR"/>
      </w:rPr>
      <w:drawing>
        <wp:inline distT="0" distB="0" distL="0" distR="0" wp14:anchorId="5B09250E" wp14:editId="08DF603F">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sidRPr="000B7916">
      <w:rPr>
        <w:rFonts w:ascii="Arial" w:hAnsi="Arial" w:cs="Arial"/>
        <w:noProof/>
        <w:lang w:val="el-GR"/>
      </w:rPr>
      <w:drawing>
        <wp:inline distT="0" distB="0" distL="0" distR="0" wp14:anchorId="7C7C1717" wp14:editId="3F8ED520">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16125742"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C0F91" w14:textId="77777777" w:rsidR="002E6FD0" w:rsidRDefault="002E6FD0" w:rsidP="00B527A4">
      <w:r>
        <w:separator/>
      </w:r>
    </w:p>
  </w:footnote>
  <w:footnote w:type="continuationSeparator" w:id="0">
    <w:p w14:paraId="29DF310B" w14:textId="77777777" w:rsidR="002E6FD0" w:rsidRDefault="002E6FD0"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A8C8" w14:textId="77777777" w:rsidR="00B566F5" w:rsidRPr="000416B5" w:rsidRDefault="00AE5ACE" w:rsidP="00B566F5">
    <w:pPr>
      <w:pStyle w:val="a4"/>
      <w:rPr>
        <w:rFonts w:ascii="Arial" w:hAnsi="Arial" w:cs="Arial"/>
        <w:noProof/>
        <w:sz w:val="20"/>
        <w:lang w:val="el-GR"/>
      </w:rPr>
    </w:pPr>
    <w:r w:rsidRPr="000416B5">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02A843E9" wp14:editId="0C420010">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61EAA897"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0252A1F2"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371B6268"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309B110B"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47E994A2"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66F7E92F"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4FB9A436" w14:textId="77777777" w:rsidR="00B566F5" w:rsidRPr="00AE5ACE" w:rsidRDefault="00B566F5" w:rsidP="00B566F5">
    <w:pPr>
      <w:pStyle w:val="a4"/>
      <w:rPr>
        <w:rFonts w:ascii="Arial" w:hAnsi="Arial" w:cs="Arial"/>
        <w:noProof/>
        <w:sz w:val="20"/>
        <w:lang w:val="el-GR"/>
      </w:rPr>
    </w:pPr>
  </w:p>
  <w:p w14:paraId="1FDD9A4A"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1890845881">
    <w:abstractNumId w:val="4"/>
  </w:num>
  <w:num w:numId="2" w16cid:durableId="1126851903">
    <w:abstractNumId w:val="8"/>
  </w:num>
  <w:num w:numId="3" w16cid:durableId="492380972">
    <w:abstractNumId w:val="11"/>
  </w:num>
  <w:num w:numId="4" w16cid:durableId="499198471">
    <w:abstractNumId w:val="2"/>
  </w:num>
  <w:num w:numId="5" w16cid:durableId="763107157">
    <w:abstractNumId w:val="1"/>
  </w:num>
  <w:num w:numId="6" w16cid:durableId="1890068309">
    <w:abstractNumId w:val="5"/>
  </w:num>
  <w:num w:numId="7" w16cid:durableId="1774400552">
    <w:abstractNumId w:val="9"/>
  </w:num>
  <w:num w:numId="8" w16cid:durableId="168408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104680">
    <w:abstractNumId w:val="7"/>
  </w:num>
  <w:num w:numId="10" w16cid:durableId="564797205">
    <w:abstractNumId w:val="3"/>
  </w:num>
  <w:num w:numId="11" w16cid:durableId="1437017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0765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5F8"/>
    <w:rsid w:val="000011CE"/>
    <w:rsid w:val="00021F31"/>
    <w:rsid w:val="00025361"/>
    <w:rsid w:val="000264DB"/>
    <w:rsid w:val="00026EA9"/>
    <w:rsid w:val="000416B5"/>
    <w:rsid w:val="0005647B"/>
    <w:rsid w:val="000618B8"/>
    <w:rsid w:val="000855A6"/>
    <w:rsid w:val="00095851"/>
    <w:rsid w:val="000A4C5E"/>
    <w:rsid w:val="000B0B9B"/>
    <w:rsid w:val="000B7916"/>
    <w:rsid w:val="000C5E31"/>
    <w:rsid w:val="000E605F"/>
    <w:rsid w:val="000F0712"/>
    <w:rsid w:val="0013259E"/>
    <w:rsid w:val="00136051"/>
    <w:rsid w:val="001367EC"/>
    <w:rsid w:val="001439F2"/>
    <w:rsid w:val="00161602"/>
    <w:rsid w:val="00171B37"/>
    <w:rsid w:val="001A3A25"/>
    <w:rsid w:val="001B21A4"/>
    <w:rsid w:val="001C2790"/>
    <w:rsid w:val="001C4A90"/>
    <w:rsid w:val="001D37F9"/>
    <w:rsid w:val="001E4C9E"/>
    <w:rsid w:val="00202210"/>
    <w:rsid w:val="002213DF"/>
    <w:rsid w:val="00224C53"/>
    <w:rsid w:val="00225FD3"/>
    <w:rsid w:val="00226B01"/>
    <w:rsid w:val="00241A55"/>
    <w:rsid w:val="00253AC2"/>
    <w:rsid w:val="002A2270"/>
    <w:rsid w:val="002E6FD0"/>
    <w:rsid w:val="002E7A61"/>
    <w:rsid w:val="002E7E5E"/>
    <w:rsid w:val="002F1BCC"/>
    <w:rsid w:val="00305699"/>
    <w:rsid w:val="003306E8"/>
    <w:rsid w:val="003509D1"/>
    <w:rsid w:val="0035275C"/>
    <w:rsid w:val="00356E94"/>
    <w:rsid w:val="00376A2E"/>
    <w:rsid w:val="0038234D"/>
    <w:rsid w:val="003876F8"/>
    <w:rsid w:val="003A361A"/>
    <w:rsid w:val="003A73F7"/>
    <w:rsid w:val="003B5176"/>
    <w:rsid w:val="003C2B9A"/>
    <w:rsid w:val="003C733D"/>
    <w:rsid w:val="00423458"/>
    <w:rsid w:val="0044602A"/>
    <w:rsid w:val="00447D0A"/>
    <w:rsid w:val="0046515E"/>
    <w:rsid w:val="00465A97"/>
    <w:rsid w:val="004773DB"/>
    <w:rsid w:val="004843BE"/>
    <w:rsid w:val="004B092B"/>
    <w:rsid w:val="004B344D"/>
    <w:rsid w:val="004D5E59"/>
    <w:rsid w:val="004F1DC3"/>
    <w:rsid w:val="004F5815"/>
    <w:rsid w:val="00501030"/>
    <w:rsid w:val="00512EEC"/>
    <w:rsid w:val="00520B0F"/>
    <w:rsid w:val="005314CD"/>
    <w:rsid w:val="00545D0A"/>
    <w:rsid w:val="005535AD"/>
    <w:rsid w:val="00557646"/>
    <w:rsid w:val="00574B9A"/>
    <w:rsid w:val="0058139F"/>
    <w:rsid w:val="005D2E81"/>
    <w:rsid w:val="00600662"/>
    <w:rsid w:val="006031C3"/>
    <w:rsid w:val="00616107"/>
    <w:rsid w:val="006277A8"/>
    <w:rsid w:val="00632454"/>
    <w:rsid w:val="00633B64"/>
    <w:rsid w:val="00662FA6"/>
    <w:rsid w:val="00670166"/>
    <w:rsid w:val="0068074C"/>
    <w:rsid w:val="00686C0F"/>
    <w:rsid w:val="00695D3C"/>
    <w:rsid w:val="006A4BE7"/>
    <w:rsid w:val="006A5A84"/>
    <w:rsid w:val="006B4ADF"/>
    <w:rsid w:val="006B6ACC"/>
    <w:rsid w:val="006D112D"/>
    <w:rsid w:val="00700E82"/>
    <w:rsid w:val="007076DF"/>
    <w:rsid w:val="00707DA8"/>
    <w:rsid w:val="00724D3D"/>
    <w:rsid w:val="007260D8"/>
    <w:rsid w:val="0072620C"/>
    <w:rsid w:val="00736628"/>
    <w:rsid w:val="00740804"/>
    <w:rsid w:val="00744F42"/>
    <w:rsid w:val="0075448A"/>
    <w:rsid w:val="007A3E8E"/>
    <w:rsid w:val="007B0367"/>
    <w:rsid w:val="007B1CC8"/>
    <w:rsid w:val="007B4BBB"/>
    <w:rsid w:val="007B62C1"/>
    <w:rsid w:val="007C5456"/>
    <w:rsid w:val="007C6D84"/>
    <w:rsid w:val="007E5E9E"/>
    <w:rsid w:val="007F0A74"/>
    <w:rsid w:val="0080655E"/>
    <w:rsid w:val="0081442A"/>
    <w:rsid w:val="00823354"/>
    <w:rsid w:val="008308CD"/>
    <w:rsid w:val="0083639F"/>
    <w:rsid w:val="0084240C"/>
    <w:rsid w:val="00864E0B"/>
    <w:rsid w:val="008674B7"/>
    <w:rsid w:val="0087140D"/>
    <w:rsid w:val="00872C82"/>
    <w:rsid w:val="0088025E"/>
    <w:rsid w:val="00883F18"/>
    <w:rsid w:val="00885F16"/>
    <w:rsid w:val="0089452A"/>
    <w:rsid w:val="008A23E2"/>
    <w:rsid w:val="008A2678"/>
    <w:rsid w:val="008B4B6C"/>
    <w:rsid w:val="008C42B3"/>
    <w:rsid w:val="008D0BFE"/>
    <w:rsid w:val="008F3E7E"/>
    <w:rsid w:val="008F4AB9"/>
    <w:rsid w:val="009571ED"/>
    <w:rsid w:val="0096476C"/>
    <w:rsid w:val="00965421"/>
    <w:rsid w:val="009737EF"/>
    <w:rsid w:val="00986710"/>
    <w:rsid w:val="009B634C"/>
    <w:rsid w:val="009B6ACF"/>
    <w:rsid w:val="009E1BFC"/>
    <w:rsid w:val="00A2040B"/>
    <w:rsid w:val="00A20A44"/>
    <w:rsid w:val="00A268B0"/>
    <w:rsid w:val="00A343F0"/>
    <w:rsid w:val="00A354EA"/>
    <w:rsid w:val="00A35AD9"/>
    <w:rsid w:val="00A63394"/>
    <w:rsid w:val="00A6367D"/>
    <w:rsid w:val="00AC2E8E"/>
    <w:rsid w:val="00AC5A07"/>
    <w:rsid w:val="00AD0E90"/>
    <w:rsid w:val="00AD3C48"/>
    <w:rsid w:val="00AD4C72"/>
    <w:rsid w:val="00AE5ACE"/>
    <w:rsid w:val="00AF7716"/>
    <w:rsid w:val="00B1612D"/>
    <w:rsid w:val="00B205EB"/>
    <w:rsid w:val="00B23125"/>
    <w:rsid w:val="00B36976"/>
    <w:rsid w:val="00B527A4"/>
    <w:rsid w:val="00B566F5"/>
    <w:rsid w:val="00B56775"/>
    <w:rsid w:val="00B70833"/>
    <w:rsid w:val="00B83BFB"/>
    <w:rsid w:val="00B94DDC"/>
    <w:rsid w:val="00BB48E6"/>
    <w:rsid w:val="00BF5236"/>
    <w:rsid w:val="00C1482C"/>
    <w:rsid w:val="00C15559"/>
    <w:rsid w:val="00C50D3A"/>
    <w:rsid w:val="00C535FB"/>
    <w:rsid w:val="00C67E41"/>
    <w:rsid w:val="00C7525B"/>
    <w:rsid w:val="00C819FD"/>
    <w:rsid w:val="00C9576D"/>
    <w:rsid w:val="00CA5CB1"/>
    <w:rsid w:val="00CD002F"/>
    <w:rsid w:val="00CD0A63"/>
    <w:rsid w:val="00CD2A7B"/>
    <w:rsid w:val="00D16653"/>
    <w:rsid w:val="00D16FF6"/>
    <w:rsid w:val="00D343EA"/>
    <w:rsid w:val="00D36A50"/>
    <w:rsid w:val="00D86851"/>
    <w:rsid w:val="00D915B1"/>
    <w:rsid w:val="00D96866"/>
    <w:rsid w:val="00DB2D02"/>
    <w:rsid w:val="00E0345F"/>
    <w:rsid w:val="00E07F2F"/>
    <w:rsid w:val="00E1063B"/>
    <w:rsid w:val="00E13672"/>
    <w:rsid w:val="00E307AA"/>
    <w:rsid w:val="00E441B4"/>
    <w:rsid w:val="00E523DD"/>
    <w:rsid w:val="00E648F4"/>
    <w:rsid w:val="00E96B02"/>
    <w:rsid w:val="00EB1CBB"/>
    <w:rsid w:val="00EC2CC7"/>
    <w:rsid w:val="00EC3402"/>
    <w:rsid w:val="00ED27D7"/>
    <w:rsid w:val="00ED77A0"/>
    <w:rsid w:val="00EF36B8"/>
    <w:rsid w:val="00F172D3"/>
    <w:rsid w:val="00F20C72"/>
    <w:rsid w:val="00F42B05"/>
    <w:rsid w:val="00F44674"/>
    <w:rsid w:val="00F54B84"/>
    <w:rsid w:val="00F56929"/>
    <w:rsid w:val="00F73751"/>
    <w:rsid w:val="00F9483B"/>
    <w:rsid w:val="00F948BA"/>
    <w:rsid w:val="00F95055"/>
    <w:rsid w:val="00FB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F4C1B"/>
  <w15:docId w15:val="{1820523F-D033-42E4-AEA5-49E81FB0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 w:type="paragraph" w:customStyle="1" w:styleId="Textbodyindent">
    <w:name w:val="Text body indent"/>
    <w:basedOn w:val="a"/>
    <w:rsid w:val="004773DB"/>
    <w:pPr>
      <w:widowControl w:val="0"/>
      <w:suppressAutoHyphens/>
      <w:ind w:firstLine="1134"/>
      <w:jc w:val="both"/>
      <w:textAlignment w:val="baseline"/>
    </w:pPr>
    <w:rPr>
      <w:rFonts w:ascii="Arial" w:eastAsia="Andale Sans UI" w:hAnsi="Arial" w:cs="Arial"/>
      <w:kern w:val="1"/>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30D37-7C1A-45A1-A188-B2A2002E5243}">
  <ds:schemaRefs>
    <ds:schemaRef ds:uri="http://schemas.openxmlformats.org/officeDocument/2006/bibliography"/>
  </ds:schemaRefs>
</ds:datastoreItem>
</file>

<file path=customXml/itemProps2.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4.xml><?xml version="1.0" encoding="utf-8"?>
<ds:datastoreItem xmlns:ds="http://schemas.openxmlformats.org/officeDocument/2006/customXml" ds:itemID="{70E98EC6-4AC7-4431-AC68-AD9B408176BA}"/>
</file>

<file path=docProps/app.xml><?xml version="1.0" encoding="utf-8"?>
<Properties xmlns="http://schemas.openxmlformats.org/officeDocument/2006/extended-properties" xmlns:vt="http://schemas.openxmlformats.org/officeDocument/2006/docPropsVTypes">
  <Template>Normal.dotm</Template>
  <TotalTime>71</TotalTime>
  <Pages>1</Pages>
  <Words>331</Words>
  <Characters>1789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2116</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9η ΕΦΟΡΕΙΑ ΒΥΖΑΝΤΙΝΩΝ ΑΡΧΑΙΟΤΗΤΩΝ</dc:creator>
  <cp:lastModifiedBy>ΓΕΛΑΔΑΚΗ ΠΑΝΑΓΙΩΤΑ</cp:lastModifiedBy>
  <cp:revision>48</cp:revision>
  <cp:lastPrinted>2015-09-24T09:44:00Z</cp:lastPrinted>
  <dcterms:created xsi:type="dcterms:W3CDTF">2024-09-25T04:19:00Z</dcterms:created>
  <dcterms:modified xsi:type="dcterms:W3CDTF">2024-10-21T07:23:00Z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