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Default="006C65C3" w:rsidP="007415AE">
      <w:pPr>
        <w:spacing w:line="360" w:lineRule="auto"/>
        <w:jc w:val="both"/>
        <w:rPr>
          <w:b/>
        </w:rPr>
      </w:pPr>
    </w:p>
    <w:p w:rsidR="0034123A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5D6129" w:rsidRPr="005D6129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ΑΠΟΚΑΤΑΣΤΑΣΗ ΚΑΙ ΣΥΝΤΗΡΗΣΗ ΣΥΓΚΡΟΤΗΜΑΤΟΣ ΝΟΤΙΩΝ ΘΕΡΜΩΝ ΟΛΥΜΠΙΑΣ 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BB1FA9" w:rsidRDefault="00994D49" w:rsidP="005E441D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5D6129" w:rsidRPr="005D6129">
        <w:t>ΑΠΟΚΑΤΑΣΤΑΣΗ ΚΑΙ ΣΥΝΤΗΡΗΣΗ ΣΥΓΚΡΟΤΗΜΑΤΟΣ ΝΟΤΙΩΝ ΘΕΡΜΩΝ ΟΛΥΜΠΙΑΣ</w:t>
      </w:r>
      <w:r w:rsidR="00073BE7">
        <w:t>» με κωδικό ΟΠΣ ΤΑ 51</w:t>
      </w:r>
      <w:r w:rsidR="005D6129">
        <w:t xml:space="preserve">54624 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5D6129">
        <w:t>615.000</w:t>
      </w:r>
      <w:r w:rsidR="00BB1FA9">
        <w:t>€.</w:t>
      </w:r>
    </w:p>
    <w:p w:rsidR="005E441D" w:rsidRDefault="005E441D" w:rsidP="005E441D">
      <w:pPr>
        <w:spacing w:line="360" w:lineRule="auto"/>
        <w:jc w:val="both"/>
      </w:pPr>
      <w:r>
        <w:t>Το φυσικό αντικείμενο αφορά:</w:t>
      </w:r>
    </w:p>
    <w:p w:rsidR="005D6129" w:rsidRDefault="005D6129" w:rsidP="005D6129">
      <w:pPr>
        <w:spacing w:before="120" w:after="0" w:line="360" w:lineRule="auto"/>
        <w:jc w:val="both"/>
      </w:pPr>
      <w:r>
        <w:t>ΥΠΟΕΡΓΟ 1 "Αποκατάσταση – Ανάδειξη Συγκροτήματος Νοτίων Θερμών Ολυμπίας"</w:t>
      </w:r>
    </w:p>
    <w:p w:rsidR="005D6129" w:rsidRDefault="005D6129" w:rsidP="005D6129">
      <w:pPr>
        <w:spacing w:before="120" w:after="0" w:line="360" w:lineRule="auto"/>
        <w:jc w:val="both"/>
      </w:pPr>
      <w:r>
        <w:t>Φορέας υλοποίησης: Εφορεία Αρχαιοτήτων Ηλείας</w:t>
      </w:r>
    </w:p>
    <w:p w:rsidR="005D6129" w:rsidRDefault="005D6129" w:rsidP="005D6129">
      <w:pPr>
        <w:spacing w:before="120" w:after="0" w:line="360" w:lineRule="auto"/>
        <w:jc w:val="both"/>
      </w:pPr>
      <w:r>
        <w:t>Θα εφαρμοστούν άμεσα σωστικά μέτρα, όπως αποψιλώσεις – κοπή δέντρων στα νότια του συγκροτήματος – ανασκαφική διερεύνηση και ανασκαφικοί καθαρισμοί -</w:t>
      </w:r>
      <w:r>
        <w:t xml:space="preserve"> </w:t>
      </w:r>
      <w:r>
        <w:t>αποσαφήνιση περιγράμματος αρχαίων οικοδομικών καταλοίπων. Παράλληλα θα πραγματοποιείται ενημέρωση/ εμπλουτισμός της επιστημονικής τεκμηρίωσης του</w:t>
      </w:r>
      <w:r>
        <w:t xml:space="preserve"> </w:t>
      </w:r>
      <w:r>
        <w:t>μνημείου (φωτογραφικά, ημερολόγια, σχεδιαστικά). Θα εκπονηθούν εξειδικευμένες μελέτες (οριστική αρχιτεκτονική, οριστική στατική και υδραυλική μελέτη).. Επίσης, θα</w:t>
      </w:r>
    </w:p>
    <w:p w:rsidR="005D6129" w:rsidRDefault="005D6129" w:rsidP="005D6129">
      <w:pPr>
        <w:spacing w:before="120" w:after="0" w:line="360" w:lineRule="auto"/>
        <w:jc w:val="both"/>
      </w:pPr>
      <w:r>
        <w:t xml:space="preserve">παραχθούν ενημερωτικά φυλλάδια &amp; πινακίδες (δίγλωσσες και σε γραφή </w:t>
      </w:r>
      <w:proofErr w:type="spellStart"/>
      <w:r>
        <w:t>Braille</w:t>
      </w:r>
      <w:proofErr w:type="spellEnd"/>
      <w:r>
        <w:t>).</w:t>
      </w:r>
    </w:p>
    <w:p w:rsidR="005D6129" w:rsidRDefault="005D6129" w:rsidP="005D6129">
      <w:pPr>
        <w:spacing w:before="120" w:after="0" w:line="360" w:lineRule="auto"/>
        <w:jc w:val="both"/>
      </w:pPr>
      <w:r>
        <w:t>• Εργασίες αποκατάστασης, ενίσχυσης και ανάκτησης των αρχαίων υποδομών, επεμβάσεις δομικής ενίσχυσης των ιστάμενων τοιχοποιιών του θερμού λουτρού του</w:t>
      </w:r>
      <w:r>
        <w:t xml:space="preserve"> </w:t>
      </w:r>
      <w:r>
        <w:t xml:space="preserve">μνημείου, καθώς και εργασίες ανάδειξης με </w:t>
      </w:r>
      <w:proofErr w:type="spellStart"/>
      <w:r>
        <w:t>επιχώσεις</w:t>
      </w:r>
      <w:proofErr w:type="spellEnd"/>
      <w:r>
        <w:t xml:space="preserve"> των ανεσκαμμένων χώρων και διαμόρφωση επισκέψιμων περιοχών. Συγκεκριμένα, προβλέπεται να γίνει</w:t>
      </w:r>
      <w:r>
        <w:t xml:space="preserve"> </w:t>
      </w:r>
      <w:r>
        <w:t xml:space="preserve">εξυγίανση τοιχοποιιών, αποκεκαλυμμένων θεμελιώσεων και λοιπών υποδομών. Επίσης, θα γίνουν στερεώσεις οικοδομικών καταλοίπων, </w:t>
      </w:r>
      <w:proofErr w:type="spellStart"/>
      <w:r>
        <w:t>ανακτίσεις</w:t>
      </w:r>
      <w:proofErr w:type="spellEnd"/>
      <w:r>
        <w:t xml:space="preserve"> τοιχοποιιών,</w:t>
      </w:r>
    </w:p>
    <w:p w:rsidR="005D6129" w:rsidRDefault="005D6129" w:rsidP="005D6129">
      <w:pPr>
        <w:spacing w:before="120" w:after="0" w:line="360" w:lineRule="auto"/>
        <w:jc w:val="both"/>
      </w:pPr>
      <w:r>
        <w:t>ανατάξεις-μεταφορές μετακινημένων μελών, απόσπαση-συντήρηση και επανατοποθέτηση αρχιτεκτονικών μελών, συντήρηση επιχρισμάτων, δαπέδων και αξιόλογων</w:t>
      </w:r>
      <w:r>
        <w:t xml:space="preserve"> </w:t>
      </w:r>
      <w:r>
        <w:t xml:space="preserve">αρχιτεκτονικών μελών in </w:t>
      </w:r>
      <w:proofErr w:type="spellStart"/>
      <w:r>
        <w:t>situ</w:t>
      </w:r>
      <w:proofErr w:type="spellEnd"/>
      <w:r>
        <w:t xml:space="preserve"> ή και καταπιεσμένων, διάστρωση των χώρων στις τελικές προτεινόμενες στάθμες κίνησης των επισκεπτών. Κατασκευή αποστραγγιστικού</w:t>
      </w:r>
      <w:r>
        <w:t xml:space="preserve"> </w:t>
      </w:r>
      <w:r>
        <w:t>δικτύου.</w:t>
      </w:r>
    </w:p>
    <w:p w:rsidR="005D6129" w:rsidRDefault="005D6129" w:rsidP="005D6129">
      <w:pPr>
        <w:spacing w:before="120" w:after="0" w:line="360" w:lineRule="auto"/>
        <w:jc w:val="both"/>
      </w:pPr>
      <w:r>
        <w:t>ΥΠΟΕΡΓΟ 2 " Εργασίες Συντήρησης Κονιαμάτων και Λίθινων Στοιχείων στις Νότιες Θέρμες Αρχαίας Ολυμπίας"</w:t>
      </w:r>
    </w:p>
    <w:p w:rsidR="005D6129" w:rsidRDefault="005D6129" w:rsidP="005D6129">
      <w:pPr>
        <w:spacing w:before="120" w:after="0" w:line="360" w:lineRule="auto"/>
        <w:jc w:val="both"/>
      </w:pPr>
      <w:r>
        <w:t xml:space="preserve">Φορέας υλοποίησης: Διεύθυνση Συντήρησης Αρχαίων και </w:t>
      </w:r>
      <w:proofErr w:type="spellStart"/>
      <w:r>
        <w:t>Νεώτερων</w:t>
      </w:r>
      <w:proofErr w:type="spellEnd"/>
      <w:r>
        <w:t xml:space="preserve"> Μνημείων</w:t>
      </w:r>
    </w:p>
    <w:p w:rsidR="005D6129" w:rsidRDefault="005D6129" w:rsidP="005D6129">
      <w:pPr>
        <w:spacing w:before="120" w:after="0" w:line="360" w:lineRule="auto"/>
        <w:jc w:val="both"/>
      </w:pPr>
      <w:r>
        <w:lastRenderedPageBreak/>
        <w:t>Πιο συγκεκριμένα, θα γίνουν επεμβάσεις σε περίπου 35 τ.μ. κονιαμάτων στα οποία θα πραγματοποιηθούν:</w:t>
      </w:r>
    </w:p>
    <w:p w:rsidR="005D6129" w:rsidRDefault="005D6129" w:rsidP="005D6129">
      <w:pPr>
        <w:spacing w:before="120" w:after="0" w:line="360" w:lineRule="auto"/>
        <w:jc w:val="both"/>
      </w:pPr>
      <w:r>
        <w:t>• Αφαίρεση ανάπτυξης φυτικών ριζικών συστημάτων από την επιφάνεια και τις ακμές των κονιαμάτων.</w:t>
      </w:r>
    </w:p>
    <w:p w:rsidR="005D6129" w:rsidRDefault="005D6129" w:rsidP="005D6129">
      <w:pPr>
        <w:spacing w:before="120" w:after="0" w:line="360" w:lineRule="auto"/>
        <w:jc w:val="both"/>
      </w:pPr>
      <w:r>
        <w:t>• Καθαρισμός των κονιαμάτων από φερτά υλικά.</w:t>
      </w:r>
    </w:p>
    <w:p w:rsidR="005D6129" w:rsidRDefault="005D6129" w:rsidP="005D6129">
      <w:pPr>
        <w:spacing w:before="120" w:after="0" w:line="360" w:lineRule="auto"/>
        <w:jc w:val="both"/>
      </w:pPr>
      <w:r>
        <w:t>• Εργασίες στερέωσης των κονιαμάτων στο υποστήριγμα.</w:t>
      </w:r>
    </w:p>
    <w:p w:rsidR="005D6129" w:rsidRDefault="005D6129" w:rsidP="005D6129">
      <w:pPr>
        <w:spacing w:before="120" w:after="0" w:line="360" w:lineRule="auto"/>
        <w:jc w:val="both"/>
      </w:pPr>
      <w:r>
        <w:t>• Εργασίες απομάκρυνσης νεότερων τσιμεντοκονιαμάτων και άλλων επεμβάσεων και τοποθέτηση νέων χωρίς τη χρήση τσιμέντου.</w:t>
      </w:r>
    </w:p>
    <w:p w:rsidR="005D6129" w:rsidRDefault="005D6129" w:rsidP="005D6129">
      <w:pPr>
        <w:spacing w:before="120" w:after="0" w:line="360" w:lineRule="auto"/>
        <w:jc w:val="both"/>
      </w:pPr>
      <w:r>
        <w:t>• Εργασίες στα τμήματα που θα αποκαλυφθούν κατά την διάρκεια των ανασκαφών για την καλύτερη απόδοση του χώρου και των δωματίων.</w:t>
      </w:r>
      <w:r>
        <w:t xml:space="preserve"> </w:t>
      </w:r>
      <w:r>
        <w:t>Στα λίθινα στοιχεία θα πραγματοποιηθούν τα ακόλουθα και εφόσον απαιτηθεί από τις εργασίες αναστήλωσης:</w:t>
      </w:r>
    </w:p>
    <w:p w:rsidR="005D6129" w:rsidRDefault="005D6129" w:rsidP="005D6129">
      <w:pPr>
        <w:spacing w:before="120" w:after="0" w:line="360" w:lineRule="auto"/>
        <w:jc w:val="both"/>
      </w:pPr>
      <w:r>
        <w:t xml:space="preserve">• Στο δυτικό τοίχο του </w:t>
      </w:r>
      <w:proofErr w:type="spellStart"/>
      <w:r>
        <w:t>αιθρίου</w:t>
      </w:r>
      <w:proofErr w:type="spellEnd"/>
      <w:r>
        <w:t xml:space="preserve">, όπου οι λίθοι συγκρατούνται οριακά στη θέση τους και είναι αποσαθρωμένη η </w:t>
      </w:r>
      <w:proofErr w:type="spellStart"/>
      <w:r>
        <w:t>υπόβασή</w:t>
      </w:r>
      <w:proofErr w:type="spellEnd"/>
      <w:r>
        <w:t xml:space="preserve"> τους, απόσπαση τριών λίθινων μελών, η</w:t>
      </w:r>
      <w:r>
        <w:t xml:space="preserve"> </w:t>
      </w:r>
      <w:r>
        <w:t>εξυγίανση της τοιχοποιίας και η επανατοποθέτησή τους.</w:t>
      </w:r>
    </w:p>
    <w:p w:rsidR="005D6129" w:rsidRDefault="005D6129" w:rsidP="005D6129">
      <w:pPr>
        <w:spacing w:before="120" w:after="0" w:line="360" w:lineRule="auto"/>
        <w:jc w:val="both"/>
      </w:pPr>
      <w:r>
        <w:t>• Στο Δυτικό Πύργο 2 και ειδικότερα στη νοτιοδυτική γωνία του, η οποία εμφανίζει απόκλιση και κύλιση από την κατακόρυφο, απόσπαση τεσσάρων αρχιτεκτονικών</w:t>
      </w:r>
      <w:r>
        <w:t xml:space="preserve"> </w:t>
      </w:r>
      <w:r>
        <w:t xml:space="preserve">μελών στα οποία θα πραγματοποιηθούν </w:t>
      </w:r>
      <w:proofErr w:type="spellStart"/>
      <w:r>
        <w:t>εργαασίες</w:t>
      </w:r>
      <w:proofErr w:type="spellEnd"/>
      <w:r>
        <w:t xml:space="preserve"> στερέωσης της επιφάνειας και καθαρισμός.</w:t>
      </w:r>
    </w:p>
    <w:p w:rsidR="005D6129" w:rsidRDefault="005D6129" w:rsidP="005D6129">
      <w:pPr>
        <w:spacing w:before="120" w:after="0" w:line="360" w:lineRule="auto"/>
        <w:jc w:val="both"/>
      </w:pPr>
      <w:r>
        <w:t xml:space="preserve">• Σε όλη την διάρκεια των επεμβάσεων αναστήλωσης και </w:t>
      </w:r>
      <w:proofErr w:type="spellStart"/>
      <w:r>
        <w:t>επανάταξης</w:t>
      </w:r>
      <w:proofErr w:type="spellEnd"/>
      <w:r>
        <w:t xml:space="preserve"> αρχιτεκτονικών μελών θα πραγματοποιηθούν μικροεπεμβάσεις στερεώσεων και</w:t>
      </w:r>
      <w:r>
        <w:t xml:space="preserve"> </w:t>
      </w:r>
      <w:r>
        <w:t>επανατοποθ</w:t>
      </w:r>
      <w:bookmarkStart w:id="0" w:name="_GoBack"/>
      <w:bookmarkEnd w:id="0"/>
      <w:r>
        <w:t>έτησης.</w:t>
      </w:r>
    </w:p>
    <w:p w:rsidR="005D6129" w:rsidRDefault="005D6129" w:rsidP="005D6129">
      <w:pPr>
        <w:spacing w:before="120" w:after="0" w:line="360" w:lineRule="auto"/>
        <w:jc w:val="both"/>
      </w:pPr>
      <w:r>
        <w:t>- Παρακολούθηση των κλιματολογικών παραμέτρων των μνημείων.</w:t>
      </w:r>
    </w:p>
    <w:p w:rsidR="00626FE1" w:rsidRPr="00626FE1" w:rsidRDefault="00626FE1" w:rsidP="005D6129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638A6"/>
    <w:rsid w:val="001A2E97"/>
    <w:rsid w:val="001C63C9"/>
    <w:rsid w:val="001D301B"/>
    <w:rsid w:val="002006F5"/>
    <w:rsid w:val="00203875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62729"/>
    <w:rsid w:val="007941C4"/>
    <w:rsid w:val="007B4777"/>
    <w:rsid w:val="007D31D3"/>
    <w:rsid w:val="00857872"/>
    <w:rsid w:val="00896A60"/>
    <w:rsid w:val="008C0343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7AD2"/>
    <w:rsid w:val="00B149D3"/>
    <w:rsid w:val="00B479D0"/>
    <w:rsid w:val="00B6008A"/>
    <w:rsid w:val="00BB1FA9"/>
    <w:rsid w:val="00C005DB"/>
    <w:rsid w:val="00C90550"/>
    <w:rsid w:val="00CE2572"/>
    <w:rsid w:val="00CE7BB8"/>
    <w:rsid w:val="00D00DAF"/>
    <w:rsid w:val="00D63611"/>
    <w:rsid w:val="00D73ED2"/>
    <w:rsid w:val="00DA56D8"/>
    <w:rsid w:val="00DD69EB"/>
    <w:rsid w:val="00E01C62"/>
    <w:rsid w:val="00EB074F"/>
    <w:rsid w:val="00EC173D"/>
    <w:rsid w:val="00F35BBB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E063382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4</cp:revision>
  <dcterms:created xsi:type="dcterms:W3CDTF">2024-04-23T08:32:00Z</dcterms:created>
  <dcterms:modified xsi:type="dcterms:W3CDTF">2024-04-23T08:37:00Z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