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37" w:rsidRPr="001D24A4" w:rsidRDefault="001D24A4">
      <w:pPr>
        <w:pStyle w:val="1"/>
        <w:jc w:val="center"/>
        <w:rPr>
          <w:rFonts w:ascii="Arial" w:eastAsia="Times New Roman" w:hAnsi="Arial" w:cs="Arial"/>
          <w:bCs w:val="0"/>
          <w:caps/>
          <w:color w:val="003399"/>
          <w:sz w:val="24"/>
          <w:szCs w:val="24"/>
        </w:rPr>
      </w:pPr>
      <w:r w:rsidRPr="001D24A4">
        <w:rPr>
          <w:rFonts w:ascii="Arial" w:eastAsia="Times New Roman" w:hAnsi="Arial" w:cs="Arial"/>
          <w:bCs w:val="0"/>
          <w:caps/>
          <w:color w:val="003399"/>
          <w:sz w:val="24"/>
          <w:szCs w:val="24"/>
        </w:rPr>
        <w:t>SUB 2.1.1</w:t>
      </w:r>
      <w:r w:rsidRPr="001D24A4">
        <w:rPr>
          <w:rFonts w:ascii="Arial" w:eastAsia="Times New Roman" w:hAnsi="Arial" w:cs="Arial"/>
          <w:bCs w:val="0"/>
          <w:caps/>
          <w:color w:val="003399"/>
          <w:sz w:val="24"/>
          <w:szCs w:val="24"/>
        </w:rPr>
        <w:t xml:space="preserve"> </w:t>
      </w:r>
      <w:r w:rsidRPr="001D24A4">
        <w:rPr>
          <w:rFonts w:ascii="Arial" w:eastAsia="Times New Roman" w:hAnsi="Arial" w:cs="Arial"/>
          <w:bCs w:val="0"/>
          <w:caps/>
          <w:color w:val="003399"/>
          <w:sz w:val="24"/>
          <w:szCs w:val="24"/>
        </w:rPr>
        <w:t>ΕΡΓΟ «ΕΠΑΝΑΧΡΗΣΗ ΑΝΑΚΤΟΡΟΥ ΩΣ ΜΟΥΣΕΙΟΥ»</w:t>
      </w:r>
    </w:p>
    <w:p w:rsidR="00816A37" w:rsidRDefault="00816A37">
      <w:pPr>
        <w:rPr>
          <w:rFonts w:asciiTheme="minorHAnsi" w:hAnsiTheme="minorHAnsi" w:cstheme="minorHAnsi"/>
        </w:rPr>
      </w:pPr>
      <w:bookmarkStart w:id="0" w:name="_GoBack"/>
      <w:bookmarkEnd w:id="0"/>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H Διεύθυνση Νεότερης Πολιτιστικής Κληρονομιάς (ΔΙΝΕΠΟΚ) </w:t>
      </w:r>
      <w:r>
        <w:rPr>
          <w:rFonts w:asciiTheme="minorHAnsi" w:eastAsia="Tahoma" w:hAnsiTheme="minorHAnsi" w:cstheme="minorHAnsi"/>
          <w:b w:val="0"/>
          <w:iCs/>
          <w:szCs w:val="22"/>
        </w:rPr>
        <w:t>συμμετέχει</w:t>
      </w:r>
      <w:r>
        <w:rPr>
          <w:rFonts w:asciiTheme="minorHAnsi" w:eastAsia="Tahoma" w:hAnsiTheme="minorHAnsi" w:cstheme="minorHAnsi"/>
          <w:b w:val="0"/>
          <w:iCs/>
          <w:szCs w:val="22"/>
        </w:rPr>
        <w:t xml:space="preserve"> στη Δράση </w:t>
      </w:r>
      <w:r>
        <w:rPr>
          <w:rFonts w:asciiTheme="minorHAnsi" w:eastAsia="Tahoma" w:hAnsiTheme="minorHAnsi" w:cstheme="minorHAnsi"/>
          <w:bCs w:val="0"/>
          <w:iCs/>
          <w:szCs w:val="22"/>
        </w:rPr>
        <w:t xml:space="preserve">«Ανάπλαση πρώην βασιλικών κτημάτων </w:t>
      </w:r>
      <w:proofErr w:type="spellStart"/>
      <w:r>
        <w:rPr>
          <w:rFonts w:asciiTheme="minorHAnsi" w:eastAsia="Tahoma" w:hAnsiTheme="minorHAnsi" w:cstheme="minorHAnsi"/>
          <w:bCs w:val="0"/>
          <w:iCs/>
          <w:szCs w:val="22"/>
        </w:rPr>
        <w:t>Τατοΐου</w:t>
      </w:r>
      <w:proofErr w:type="spellEnd"/>
      <w:r>
        <w:rPr>
          <w:rFonts w:asciiTheme="minorHAnsi" w:eastAsia="Tahoma" w:hAnsiTheme="minorHAnsi" w:cstheme="minorHAnsi"/>
          <w:bCs w:val="0"/>
          <w:iCs/>
          <w:szCs w:val="22"/>
        </w:rPr>
        <w:t>»</w:t>
      </w:r>
      <w:r>
        <w:rPr>
          <w:rFonts w:asciiTheme="minorHAnsi" w:eastAsia="Tahoma" w:hAnsiTheme="minorHAnsi" w:cstheme="minorHAnsi"/>
          <w:b w:val="0"/>
          <w:iCs/>
          <w:szCs w:val="22"/>
        </w:rPr>
        <w:t xml:space="preserve"> του Ταμείου Ανάκαμψης &amp; Ανθεκτικότητας για την αποκατάσταση και ανάπλαση του πρώην Βασιλικού Κτήματος </w:t>
      </w:r>
      <w:proofErr w:type="spellStart"/>
      <w:r>
        <w:rPr>
          <w:rFonts w:asciiTheme="minorHAnsi" w:eastAsia="Tahoma" w:hAnsiTheme="minorHAnsi" w:cstheme="minorHAnsi"/>
          <w:b w:val="0"/>
          <w:iCs/>
          <w:szCs w:val="22"/>
        </w:rPr>
        <w:t>Τατοΐου</w:t>
      </w:r>
      <w:proofErr w:type="spellEnd"/>
      <w:r>
        <w:rPr>
          <w:rFonts w:asciiTheme="minorHAnsi" w:eastAsia="Tahoma" w:hAnsiTheme="minorHAnsi" w:cstheme="minorHAnsi"/>
          <w:b w:val="0"/>
          <w:iCs/>
          <w:szCs w:val="22"/>
        </w:rPr>
        <w:t xml:space="preserve">, με το έργο </w:t>
      </w:r>
      <w:r>
        <w:rPr>
          <w:rFonts w:asciiTheme="minorHAnsi" w:eastAsia="Tahoma" w:hAnsiTheme="minorHAnsi" w:cstheme="minorHAnsi"/>
          <w:bCs w:val="0"/>
          <w:iCs/>
          <w:szCs w:val="22"/>
        </w:rPr>
        <w:t>«ΕΠΑΝΑΧΡΗΣΗ ΤΟΥ ΑΝΑΚΤΟΡΟΥ ΩΣ ΜΟΥΣΕΙΟΥ»</w:t>
      </w:r>
      <w:r>
        <w:rPr>
          <w:rFonts w:asciiTheme="minorHAnsi" w:eastAsia="Tahoma" w:hAnsiTheme="minorHAnsi" w:cstheme="minorHAnsi"/>
          <w:b w:val="0"/>
          <w:iCs/>
          <w:szCs w:val="22"/>
        </w:rPr>
        <w:t xml:space="preserve"> </w:t>
      </w:r>
      <w:r>
        <w:rPr>
          <w:rFonts w:asciiTheme="minorHAnsi" w:eastAsia="Tahoma" w:hAnsiTheme="minorHAnsi" w:cstheme="minorHAnsi"/>
          <w:b w:val="0"/>
          <w:iCs/>
          <w:szCs w:val="22"/>
        </w:rPr>
        <w:t xml:space="preserve">συνολικού προϋπολογισμού 1.500.000€. </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Αντικείμενο του έργου </w:t>
      </w:r>
      <w:r>
        <w:rPr>
          <w:rFonts w:asciiTheme="minorHAnsi" w:eastAsia="Tahoma" w:hAnsiTheme="minorHAnsi" w:cstheme="minorHAnsi"/>
          <w:bCs w:val="0"/>
          <w:iCs/>
          <w:szCs w:val="22"/>
        </w:rPr>
        <w:t>«</w:t>
      </w:r>
      <w:proofErr w:type="spellStart"/>
      <w:r>
        <w:rPr>
          <w:rFonts w:asciiTheme="minorHAnsi" w:eastAsia="Tahoma" w:hAnsiTheme="minorHAnsi" w:cstheme="minorHAnsi"/>
          <w:bCs w:val="0"/>
          <w:iCs/>
          <w:szCs w:val="22"/>
        </w:rPr>
        <w:t>Επανάχρηση</w:t>
      </w:r>
      <w:proofErr w:type="spellEnd"/>
      <w:r>
        <w:rPr>
          <w:rFonts w:asciiTheme="minorHAnsi" w:eastAsia="Tahoma" w:hAnsiTheme="minorHAnsi" w:cstheme="minorHAnsi"/>
          <w:bCs w:val="0"/>
          <w:iCs/>
          <w:szCs w:val="22"/>
        </w:rPr>
        <w:t xml:space="preserve"> Ανακτόρου ως Μουσείου»</w:t>
      </w:r>
      <w:r>
        <w:rPr>
          <w:rFonts w:asciiTheme="minorHAnsi" w:eastAsia="Tahoma" w:hAnsiTheme="minorHAnsi" w:cstheme="minorHAnsi"/>
          <w:b w:val="0"/>
          <w:iCs/>
          <w:szCs w:val="22"/>
        </w:rPr>
        <w:t xml:space="preserve"> αποτελεί η εκπόνηση και υλοποίηση της Οριστικής </w:t>
      </w:r>
      <w:proofErr w:type="spellStart"/>
      <w:r>
        <w:rPr>
          <w:rFonts w:asciiTheme="minorHAnsi" w:eastAsia="Tahoma" w:hAnsiTheme="minorHAnsi" w:cstheme="minorHAnsi"/>
          <w:b w:val="0"/>
          <w:iCs/>
          <w:szCs w:val="22"/>
        </w:rPr>
        <w:t>Μουσειολογικής</w:t>
      </w:r>
      <w:proofErr w:type="spellEnd"/>
      <w:r>
        <w:rPr>
          <w:rFonts w:asciiTheme="minorHAnsi" w:eastAsia="Tahoma" w:hAnsiTheme="minorHAnsi" w:cstheme="minorHAnsi"/>
          <w:b w:val="0"/>
          <w:iCs/>
          <w:szCs w:val="22"/>
        </w:rPr>
        <w:t xml:space="preserve"> και </w:t>
      </w:r>
      <w:proofErr w:type="spellStart"/>
      <w:r>
        <w:rPr>
          <w:rFonts w:asciiTheme="minorHAnsi" w:eastAsia="Tahoma" w:hAnsiTheme="minorHAnsi" w:cstheme="minorHAnsi"/>
          <w:b w:val="0"/>
          <w:iCs/>
          <w:szCs w:val="22"/>
        </w:rPr>
        <w:t>Μουσειογραφικής</w:t>
      </w:r>
      <w:proofErr w:type="spellEnd"/>
      <w:r>
        <w:rPr>
          <w:rFonts w:asciiTheme="minorHAnsi" w:eastAsia="Tahoma" w:hAnsiTheme="minorHAnsi" w:cstheme="minorHAnsi"/>
          <w:b w:val="0"/>
          <w:iCs/>
          <w:szCs w:val="22"/>
        </w:rPr>
        <w:t xml:space="preserve"> Μελέτης που θα προσφέρει στο κοινό έναν πλήρως αποκαταστημένο και επισκέψιμο μουσειακό χώρο. Το έργο θα συμβάλλει ώστε να διατηρηθεί το σύνθετο φυσικό και πολιτισμικό - ιστ</w:t>
      </w:r>
      <w:r>
        <w:rPr>
          <w:rFonts w:asciiTheme="minorHAnsi" w:eastAsia="Tahoma" w:hAnsiTheme="minorHAnsi" w:cstheme="minorHAnsi"/>
          <w:b w:val="0"/>
          <w:iCs/>
          <w:szCs w:val="22"/>
        </w:rPr>
        <w:t xml:space="preserve">ορικό αποτύπωμα του κτήματος </w:t>
      </w:r>
      <w:proofErr w:type="spellStart"/>
      <w:r>
        <w:rPr>
          <w:rFonts w:asciiTheme="minorHAnsi" w:eastAsia="Tahoma" w:hAnsiTheme="minorHAnsi" w:cstheme="minorHAnsi"/>
          <w:b w:val="0"/>
          <w:iCs/>
          <w:szCs w:val="22"/>
        </w:rPr>
        <w:t>Τατοΐου</w:t>
      </w:r>
      <w:proofErr w:type="spellEnd"/>
      <w:r>
        <w:rPr>
          <w:rFonts w:asciiTheme="minorHAnsi" w:eastAsia="Tahoma" w:hAnsiTheme="minorHAnsi" w:cstheme="minorHAnsi"/>
          <w:b w:val="0"/>
          <w:iCs/>
          <w:szCs w:val="22"/>
        </w:rPr>
        <w:t xml:space="preserve">, να συνδεθεί με την νεότερη και σύγχρονη ελληνική ιστορία και να αναδειχθεί μέσα από την ανάπτυξη της μουσειακής αφήγησης στο χώρο του Ανακτόρου σε πολλαπλά νοηματικά επίπεδα. </w:t>
      </w:r>
    </w:p>
    <w:p w:rsidR="00816A37" w:rsidRDefault="001D24A4">
      <w:pPr>
        <w:pStyle w:val="StyleStyle2Before3pt"/>
        <w:spacing w:before="120" w:after="120" w:line="276" w:lineRule="auto"/>
        <w:jc w:val="both"/>
        <w:rPr>
          <w:rFonts w:asciiTheme="minorHAnsi" w:eastAsia="Tahoma" w:hAnsiTheme="minorHAnsi" w:cstheme="minorHAnsi"/>
          <w:bCs w:val="0"/>
          <w:iCs/>
          <w:szCs w:val="22"/>
        </w:rPr>
      </w:pPr>
      <w:r>
        <w:rPr>
          <w:rFonts w:asciiTheme="minorHAnsi" w:eastAsia="Tahoma" w:hAnsiTheme="minorHAnsi" w:cstheme="minorHAnsi"/>
          <w:bCs w:val="0"/>
          <w:iCs/>
          <w:szCs w:val="22"/>
        </w:rPr>
        <w:t>Όραμα: Ένας χώρος ερμηνείας που θα διεγείρ</w:t>
      </w:r>
      <w:r>
        <w:rPr>
          <w:rFonts w:asciiTheme="minorHAnsi" w:eastAsia="Tahoma" w:hAnsiTheme="minorHAnsi" w:cstheme="minorHAnsi"/>
          <w:bCs w:val="0"/>
          <w:iCs/>
          <w:szCs w:val="22"/>
        </w:rPr>
        <w:t>ει το ενδιαφέρον, θα θέτει ερωτήματα και θα καλλιεργεί την κριτική σκέψη. Ένας ανοιχτός, συμμετοχικός χώρος πολιτισμού και αναψυχής, τον οποίο θα οικειοποιούνται και θα απολαμβάνουν οι Έλληνες και ξένοι επισκέπτες, μέσα από τις ποικίλες χρήσεις που θα φιλο</w:t>
      </w:r>
      <w:r>
        <w:rPr>
          <w:rFonts w:asciiTheme="minorHAnsi" w:eastAsia="Tahoma" w:hAnsiTheme="minorHAnsi" w:cstheme="minorHAnsi"/>
          <w:bCs w:val="0"/>
          <w:iCs/>
          <w:szCs w:val="22"/>
        </w:rPr>
        <w:t>ξενεί.</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Cs w:val="0"/>
          <w:iCs/>
          <w:szCs w:val="22"/>
        </w:rPr>
        <w:t xml:space="preserve">Στόχοι: </w:t>
      </w:r>
      <w:r>
        <w:rPr>
          <w:rFonts w:asciiTheme="minorHAnsi" w:eastAsia="Tahoma" w:hAnsiTheme="minorHAnsi" w:cstheme="minorHAnsi"/>
          <w:b w:val="0"/>
          <w:iCs/>
          <w:szCs w:val="22"/>
        </w:rPr>
        <w:t>Το Μουσείο στοχεύει να λειτουργεί και να συμβάλει ως: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κέντρο διάσωσης, καταγραφής και μελέτης της δημόσιας ιστορίας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χώρος ψυχαγωγίας και αναψυχής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χώρος προστασίας, ερμηνείας και ανάδειξης του φυσικού περιβάλλοντος και του διαμορφωμένου</w:t>
      </w:r>
      <w:r>
        <w:rPr>
          <w:rFonts w:asciiTheme="minorHAnsi" w:eastAsia="Tahoma" w:hAnsiTheme="minorHAnsi" w:cstheme="minorHAnsi"/>
          <w:b w:val="0"/>
          <w:iCs/>
          <w:szCs w:val="22"/>
        </w:rPr>
        <w:t xml:space="preserve"> τοπίου του Κτήματος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εναλλακτικός χώρος άτυπης εκπαίδευσης / μάθησης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χώρος περιβαλλοντικής ευαισθητοποίησης και ανάπτυξης οικολογικών / περιβαλλοντικών δράσεων</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αφετηρία περιβαλλοντικών και πολιτιστικών διαδρομών στο Κτήμα και την ευρύτερη περιοχή</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 </w:t>
      </w:r>
      <w:r>
        <w:rPr>
          <w:rFonts w:asciiTheme="minorHAnsi" w:eastAsia="Tahoma" w:hAnsiTheme="minorHAnsi" w:cstheme="minorHAnsi"/>
          <w:b w:val="0"/>
          <w:iCs/>
          <w:szCs w:val="22"/>
        </w:rPr>
        <w:t>εταίρος στην ενίσχυση της πολιτιστικής και τουριστικής ανάπτυξης της περιοχής</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Το έργο αποτελείται από δύο (2) </w:t>
      </w:r>
      <w:proofErr w:type="spellStart"/>
      <w:r>
        <w:rPr>
          <w:rFonts w:asciiTheme="minorHAnsi" w:eastAsia="Tahoma" w:hAnsiTheme="minorHAnsi" w:cstheme="minorHAnsi"/>
          <w:b w:val="0"/>
          <w:iCs/>
          <w:szCs w:val="22"/>
        </w:rPr>
        <w:t>Υποέργα</w:t>
      </w:r>
      <w:proofErr w:type="spellEnd"/>
      <w:r>
        <w:rPr>
          <w:rFonts w:asciiTheme="minorHAnsi" w:eastAsia="Tahoma" w:hAnsiTheme="minorHAnsi" w:cstheme="minorHAnsi"/>
          <w:b w:val="0"/>
          <w:iCs/>
          <w:szCs w:val="22"/>
        </w:rPr>
        <w:t xml:space="preserve"> ως ακολούθως: </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Το </w:t>
      </w:r>
      <w:r>
        <w:rPr>
          <w:rFonts w:asciiTheme="minorHAnsi" w:eastAsia="Tahoma" w:hAnsiTheme="minorHAnsi" w:cstheme="minorHAnsi"/>
          <w:bCs w:val="0"/>
          <w:iCs/>
          <w:szCs w:val="22"/>
        </w:rPr>
        <w:t>ΥΠΟΕΡΓΟ 1</w:t>
      </w:r>
      <w:r>
        <w:rPr>
          <w:rFonts w:asciiTheme="minorHAnsi" w:eastAsia="Tahoma" w:hAnsiTheme="minorHAnsi" w:cstheme="minorHAnsi"/>
          <w:b w:val="0"/>
          <w:iCs/>
          <w:szCs w:val="22"/>
        </w:rPr>
        <w:t xml:space="preserve"> με τίτλο «Δημιουργία μόνιμης έκθεσης του Ανακτόρου στο Κτήμα </w:t>
      </w:r>
      <w:proofErr w:type="spellStart"/>
      <w:r>
        <w:rPr>
          <w:rFonts w:asciiTheme="minorHAnsi" w:eastAsia="Tahoma" w:hAnsiTheme="minorHAnsi" w:cstheme="minorHAnsi"/>
          <w:b w:val="0"/>
          <w:iCs/>
          <w:szCs w:val="22"/>
        </w:rPr>
        <w:t>Τατοΐου</w:t>
      </w:r>
      <w:proofErr w:type="spellEnd"/>
      <w:r>
        <w:rPr>
          <w:rFonts w:asciiTheme="minorHAnsi" w:eastAsia="Tahoma" w:hAnsiTheme="minorHAnsi" w:cstheme="minorHAnsi"/>
          <w:b w:val="0"/>
          <w:iCs/>
          <w:szCs w:val="22"/>
        </w:rPr>
        <w:t>» προϋπολογισμού 512.400,00€.</w:t>
      </w:r>
    </w:p>
    <w:p w:rsidR="00816A37" w:rsidRDefault="001D24A4">
      <w:pPr>
        <w:pStyle w:val="StyleStyle2Before3pt"/>
        <w:spacing w:before="120" w:after="120" w:line="276" w:lineRule="auto"/>
        <w:jc w:val="both"/>
        <w:rPr>
          <w:rFonts w:asciiTheme="minorHAnsi" w:eastAsia="Tahoma" w:hAnsiTheme="minorHAnsi" w:cstheme="minorHAnsi"/>
          <w:b w:val="0"/>
          <w:iCs/>
          <w:szCs w:val="22"/>
        </w:rPr>
      </w:pPr>
      <w:r>
        <w:rPr>
          <w:rFonts w:asciiTheme="minorHAnsi" w:eastAsia="Tahoma" w:hAnsiTheme="minorHAnsi" w:cstheme="minorHAnsi"/>
          <w:b w:val="0"/>
          <w:iCs/>
          <w:szCs w:val="22"/>
        </w:rPr>
        <w:t xml:space="preserve">Το </w:t>
      </w:r>
      <w:r>
        <w:rPr>
          <w:rFonts w:asciiTheme="minorHAnsi" w:eastAsia="Tahoma" w:hAnsiTheme="minorHAnsi" w:cstheme="minorHAnsi"/>
          <w:bCs w:val="0"/>
          <w:iCs/>
          <w:szCs w:val="22"/>
        </w:rPr>
        <w:t>ΥΠΟΕΡΓΟ 2</w:t>
      </w:r>
      <w:r>
        <w:rPr>
          <w:rFonts w:asciiTheme="minorHAnsi" w:eastAsia="Tahoma" w:hAnsiTheme="minorHAnsi" w:cstheme="minorHAnsi"/>
          <w:b w:val="0"/>
          <w:iCs/>
          <w:szCs w:val="22"/>
        </w:rPr>
        <w:t xml:space="preserve">  με τίτλο «Προμήθεια και Τοποθέτηση Μουσειακών Κατασκευών» προϋπολογισμού 987.600€. </w:t>
      </w:r>
    </w:p>
    <w:p w:rsidR="00816A37" w:rsidRDefault="001D24A4">
      <w:pPr>
        <w:pStyle w:val="StyleStyle2Before3pt"/>
        <w:spacing w:before="120" w:after="120" w:line="276" w:lineRule="auto"/>
        <w:jc w:val="center"/>
        <w:rPr>
          <w:rFonts w:asciiTheme="minorHAnsi" w:eastAsia="Tahoma" w:hAnsiTheme="minorHAnsi" w:cstheme="minorHAnsi"/>
          <w:b w:val="0"/>
          <w:iCs/>
          <w:szCs w:val="22"/>
        </w:rPr>
      </w:pPr>
      <w:r>
        <w:rPr>
          <w:rFonts w:asciiTheme="minorHAnsi" w:eastAsia="Tahoma" w:hAnsiTheme="minorHAnsi" w:cstheme="minorHAnsi"/>
          <w:b w:val="0"/>
          <w:iCs/>
          <w:szCs w:val="22"/>
        </w:rPr>
        <w:lastRenderedPageBreak/>
        <w:t>Ενδεικτικές εικόνες αντικειμένων που θα εκτεθούν στον χώρο του Ανακτόρου.</w:t>
      </w:r>
    </w:p>
    <w:p w:rsidR="00816A37" w:rsidRDefault="00816A37">
      <w:pPr>
        <w:pStyle w:val="StyleStyle2Before3pt"/>
        <w:spacing w:before="120" w:after="120" w:line="276" w:lineRule="auto"/>
        <w:jc w:val="both"/>
      </w:pPr>
    </w:p>
    <w:tbl>
      <w:tblPr>
        <w:tblStyle w:val="ab"/>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816A37">
        <w:tc>
          <w:tcPr>
            <w:tcW w:w="4981" w:type="dxa"/>
          </w:tcPr>
          <w:p w:rsidR="00816A37" w:rsidRDefault="001D24A4">
            <w:pPr>
              <w:pStyle w:val="a5"/>
              <w:spacing w:before="120" w:after="120" w:line="276" w:lineRule="auto"/>
              <w:jc w:val="center"/>
              <w:rPr>
                <w:sz w:val="15"/>
                <w:szCs w:val="15"/>
              </w:rPr>
            </w:pPr>
            <w:r>
              <w:rPr>
                <w:noProof/>
              </w:rPr>
              <w:drawing>
                <wp:inline distT="0" distB="0" distL="114300" distR="114300">
                  <wp:extent cx="2508250" cy="3016885"/>
                  <wp:effectExtent l="0" t="0" r="6350" b="12065"/>
                  <wp:docPr id="88" name="Picture 1" descr="28"/>
                  <wp:cNvGraphicFramePr/>
                  <a:graphic xmlns:a="http://schemas.openxmlformats.org/drawingml/2006/main">
                    <a:graphicData uri="http://schemas.openxmlformats.org/drawingml/2006/picture">
                      <pic:pic xmlns:pic="http://schemas.openxmlformats.org/drawingml/2006/picture">
                        <pic:nvPicPr>
                          <pic:cNvPr id="88" name="Picture 1" descr="28"/>
                          <pic:cNvPicPr/>
                        </pic:nvPicPr>
                        <pic:blipFill>
                          <a:blip r:embed="rId8"/>
                          <a:stretch>
                            <a:fillRect/>
                          </a:stretch>
                        </pic:blipFill>
                        <pic:spPr>
                          <a:xfrm>
                            <a:off x="0" y="0"/>
                            <a:ext cx="2508250" cy="3016885"/>
                          </a:xfrm>
                          <a:prstGeom prst="rect">
                            <a:avLst/>
                          </a:prstGeom>
                          <a:ln w="0">
                            <a:noFill/>
                          </a:ln>
                        </pic:spPr>
                      </pic:pic>
                    </a:graphicData>
                  </a:graphic>
                </wp:inline>
              </w:drawing>
            </w:r>
          </w:p>
        </w:tc>
        <w:tc>
          <w:tcPr>
            <w:tcW w:w="4981" w:type="dxa"/>
          </w:tcPr>
          <w:p w:rsidR="00816A37" w:rsidRDefault="001D24A4">
            <w:pPr>
              <w:pStyle w:val="a5"/>
              <w:spacing w:before="120" w:after="120" w:line="276" w:lineRule="auto"/>
              <w:jc w:val="center"/>
              <w:rPr>
                <w:sz w:val="15"/>
                <w:szCs w:val="15"/>
              </w:rPr>
            </w:pPr>
            <w:r>
              <w:rPr>
                <w:noProof/>
              </w:rPr>
              <w:drawing>
                <wp:inline distT="0" distB="0" distL="114300" distR="114300">
                  <wp:extent cx="2503805" cy="4684395"/>
                  <wp:effectExtent l="0" t="0" r="10795" b="1905"/>
                  <wp:docPr id="114" name="Εικόνα 4"/>
                  <wp:cNvGraphicFramePr/>
                  <a:graphic xmlns:a="http://schemas.openxmlformats.org/drawingml/2006/main">
                    <a:graphicData uri="http://schemas.openxmlformats.org/drawingml/2006/picture">
                      <pic:pic xmlns:pic="http://schemas.openxmlformats.org/drawingml/2006/picture">
                        <pic:nvPicPr>
                          <pic:cNvPr id="114" name="Εικόνα 4"/>
                          <pic:cNvPicPr/>
                        </pic:nvPicPr>
                        <pic:blipFill>
                          <a:blip r:embed="rId9"/>
                          <a:stretch>
                            <a:fillRect/>
                          </a:stretch>
                        </pic:blipFill>
                        <pic:spPr>
                          <a:xfrm>
                            <a:off x="0" y="0"/>
                            <a:ext cx="2504160" cy="4684680"/>
                          </a:xfrm>
                          <a:prstGeom prst="rect">
                            <a:avLst/>
                          </a:prstGeom>
                          <a:ln w="0">
                            <a:noFill/>
                          </a:ln>
                        </pic:spPr>
                      </pic:pic>
                    </a:graphicData>
                  </a:graphic>
                </wp:inline>
              </w:drawing>
            </w:r>
          </w:p>
        </w:tc>
      </w:tr>
      <w:tr w:rsidR="00816A37">
        <w:tc>
          <w:tcPr>
            <w:tcW w:w="4981" w:type="dxa"/>
          </w:tcPr>
          <w:p w:rsidR="00816A37" w:rsidRDefault="001D24A4">
            <w:pPr>
              <w:pStyle w:val="a5"/>
              <w:spacing w:before="120" w:after="120" w:line="276" w:lineRule="auto"/>
              <w:rPr>
                <w:sz w:val="15"/>
                <w:szCs w:val="15"/>
              </w:rPr>
            </w:pPr>
            <w:r>
              <w:rPr>
                <w:sz w:val="15"/>
                <w:szCs w:val="15"/>
              </w:rPr>
              <w:t xml:space="preserve">Εικόνα </w:t>
            </w:r>
            <w:r>
              <w:rPr>
                <w:sz w:val="15"/>
                <w:szCs w:val="15"/>
              </w:rPr>
              <w:fldChar w:fldCharType="begin"/>
            </w:r>
            <w:r>
              <w:rPr>
                <w:sz w:val="15"/>
                <w:szCs w:val="15"/>
              </w:rPr>
              <w:instrText xml:space="preserve"> SEQ Εικόνα \* ARABIC </w:instrText>
            </w:r>
            <w:r>
              <w:rPr>
                <w:sz w:val="15"/>
                <w:szCs w:val="15"/>
              </w:rPr>
              <w:fldChar w:fldCharType="separate"/>
            </w:r>
            <w:r>
              <w:rPr>
                <w:sz w:val="15"/>
                <w:szCs w:val="15"/>
              </w:rPr>
              <w:t>1</w:t>
            </w:r>
            <w:r>
              <w:rPr>
                <w:sz w:val="15"/>
                <w:szCs w:val="15"/>
              </w:rPr>
              <w:fldChar w:fldCharType="end"/>
            </w:r>
            <w:r>
              <w:rPr>
                <w:sz w:val="15"/>
                <w:szCs w:val="15"/>
              </w:rPr>
              <w:t xml:space="preserve">: </w:t>
            </w:r>
            <w:r>
              <w:rPr>
                <w:sz w:val="15"/>
                <w:szCs w:val="15"/>
              </w:rPr>
              <w:t xml:space="preserve">202. C. </w:t>
            </w:r>
            <w:proofErr w:type="spellStart"/>
            <w:r>
              <w:rPr>
                <w:sz w:val="15"/>
                <w:szCs w:val="15"/>
              </w:rPr>
              <w:t>Makowsky</w:t>
            </w:r>
            <w:proofErr w:type="spellEnd"/>
            <w:r>
              <w:rPr>
                <w:sz w:val="15"/>
                <w:szCs w:val="15"/>
              </w:rPr>
              <w:t xml:space="preserve">, </w:t>
            </w:r>
            <w:proofErr w:type="spellStart"/>
            <w:r>
              <w:rPr>
                <w:sz w:val="15"/>
                <w:szCs w:val="15"/>
              </w:rPr>
              <w:t>Reine</w:t>
            </w:r>
            <w:proofErr w:type="spellEnd"/>
            <w:r>
              <w:rPr>
                <w:sz w:val="15"/>
                <w:szCs w:val="15"/>
              </w:rPr>
              <w:t xml:space="preserve"> </w:t>
            </w:r>
            <w:proofErr w:type="spellStart"/>
            <w:r>
              <w:rPr>
                <w:sz w:val="15"/>
                <w:szCs w:val="15"/>
              </w:rPr>
              <w:t>Olga</w:t>
            </w:r>
            <w:proofErr w:type="spellEnd"/>
            <w:r>
              <w:rPr>
                <w:sz w:val="15"/>
                <w:szCs w:val="15"/>
              </w:rPr>
              <w:t xml:space="preserve"> (Προσωπογραφία της </w:t>
            </w:r>
            <w:r>
              <w:rPr>
                <w:sz w:val="15"/>
                <w:szCs w:val="15"/>
              </w:rPr>
              <w:t>Βασίλισσας Όλγας), 1881, ελαιογραφία σε μουσαμά, 0,81x0,985 μ.</w:t>
            </w:r>
          </w:p>
          <w:p w:rsidR="00816A37" w:rsidRDefault="00816A37">
            <w:pPr>
              <w:pStyle w:val="a5"/>
              <w:spacing w:before="120" w:after="120" w:line="276" w:lineRule="auto"/>
              <w:rPr>
                <w:sz w:val="15"/>
                <w:szCs w:val="15"/>
              </w:rPr>
            </w:pPr>
          </w:p>
        </w:tc>
        <w:tc>
          <w:tcPr>
            <w:tcW w:w="4981" w:type="dxa"/>
          </w:tcPr>
          <w:p w:rsidR="00816A37" w:rsidRDefault="001D24A4">
            <w:pPr>
              <w:pStyle w:val="a5"/>
              <w:spacing w:before="120" w:after="120" w:line="276" w:lineRule="auto"/>
              <w:rPr>
                <w:sz w:val="15"/>
                <w:szCs w:val="15"/>
              </w:rPr>
            </w:pPr>
            <w:r>
              <w:rPr>
                <w:sz w:val="15"/>
                <w:szCs w:val="15"/>
              </w:rPr>
              <w:t>Εικόνα 2: Γλυπτό του Δαυίδ θριαμβευτή</w:t>
            </w:r>
            <w:r w:rsidRPr="001D24A4">
              <w:rPr>
                <w:sz w:val="15"/>
                <w:szCs w:val="15"/>
              </w:rPr>
              <w:t xml:space="preserve">, </w:t>
            </w:r>
            <w:r>
              <w:rPr>
                <w:sz w:val="15"/>
                <w:szCs w:val="15"/>
                <w:lang w:val="en-US"/>
              </w:rPr>
              <w:t>Marius</w:t>
            </w:r>
            <w:r w:rsidRPr="001D24A4">
              <w:rPr>
                <w:sz w:val="15"/>
                <w:szCs w:val="15"/>
              </w:rPr>
              <w:t>-</w:t>
            </w:r>
            <w:r>
              <w:rPr>
                <w:sz w:val="15"/>
                <w:szCs w:val="15"/>
                <w:lang w:val="en-US"/>
              </w:rPr>
              <w:t>Jean</w:t>
            </w:r>
            <w:r w:rsidRPr="001D24A4">
              <w:rPr>
                <w:sz w:val="15"/>
                <w:szCs w:val="15"/>
              </w:rPr>
              <w:t>-</w:t>
            </w:r>
            <w:r>
              <w:rPr>
                <w:sz w:val="15"/>
                <w:szCs w:val="15"/>
                <w:lang w:val="en-US"/>
              </w:rPr>
              <w:t>Antonin</w:t>
            </w:r>
            <w:r w:rsidRPr="001D24A4">
              <w:rPr>
                <w:sz w:val="15"/>
                <w:szCs w:val="15"/>
              </w:rPr>
              <w:t xml:space="preserve"> </w:t>
            </w:r>
            <w:r>
              <w:rPr>
                <w:sz w:val="15"/>
                <w:szCs w:val="15"/>
                <w:lang w:val="en-US"/>
              </w:rPr>
              <w:t>Merci</w:t>
            </w:r>
            <w:r w:rsidRPr="001D24A4">
              <w:rPr>
                <w:sz w:val="15"/>
                <w:szCs w:val="15"/>
              </w:rPr>
              <w:t>é</w:t>
            </w:r>
            <w:r>
              <w:rPr>
                <w:sz w:val="15"/>
                <w:szCs w:val="15"/>
              </w:rPr>
              <w:t>,</w:t>
            </w:r>
            <w:r w:rsidRPr="001D24A4">
              <w:rPr>
                <w:sz w:val="15"/>
                <w:szCs w:val="15"/>
              </w:rPr>
              <w:t xml:space="preserve"> </w:t>
            </w:r>
            <w:r>
              <w:rPr>
                <w:sz w:val="15"/>
                <w:szCs w:val="15"/>
              </w:rPr>
              <w:t xml:space="preserve">περ. 1889 </w:t>
            </w:r>
          </w:p>
        </w:tc>
      </w:tr>
    </w:tbl>
    <w:p w:rsidR="001D24A4" w:rsidRDefault="001D24A4" w:rsidP="001D24A4">
      <w:pPr>
        <w:spacing w:before="120" w:line="360" w:lineRule="auto"/>
        <w:jc w:val="both"/>
        <w:rPr>
          <w:rFonts w:ascii="Arial" w:hAnsi="Arial" w:cs="Arial"/>
          <w:color w:val="003399"/>
          <w:sz w:val="24"/>
          <w:szCs w:val="24"/>
        </w:rPr>
      </w:pPr>
      <w:r>
        <w:rPr>
          <w:rFonts w:ascii="Arial" w:hAnsi="Arial" w:cs="Arial"/>
          <w:b/>
          <w:bCs/>
          <w:color w:val="003399"/>
          <w:sz w:val="24"/>
          <w:szCs w:val="24"/>
          <w:shd w:val="clear" w:color="auto" w:fill="FFFFFF"/>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proofErr w:type="spellStart"/>
      <w:r>
        <w:rPr>
          <w:rFonts w:ascii="Arial" w:hAnsi="Arial" w:cs="Arial"/>
          <w:b/>
          <w:bCs/>
          <w:color w:val="003399"/>
          <w:sz w:val="24"/>
          <w:szCs w:val="24"/>
          <w:shd w:val="clear" w:color="auto" w:fill="FFFFFF"/>
        </w:rPr>
        <w:t>NextGenerationEU</w:t>
      </w:r>
      <w:proofErr w:type="spellEnd"/>
      <w:r>
        <w:rPr>
          <w:rFonts w:ascii="Arial" w:hAnsi="Arial" w:cs="Arial"/>
          <w:b/>
          <w:bCs/>
          <w:color w:val="003399"/>
          <w:sz w:val="24"/>
          <w:szCs w:val="24"/>
          <w:shd w:val="clear" w:color="auto" w:fill="FFFFFF"/>
        </w:rPr>
        <w:t>.</w:t>
      </w:r>
    </w:p>
    <w:p w:rsidR="00816A37" w:rsidRDefault="00816A37">
      <w:pPr>
        <w:pStyle w:val="a5"/>
        <w:spacing w:before="120" w:after="120" w:line="276" w:lineRule="auto"/>
        <w:jc w:val="both"/>
        <w:rPr>
          <w:sz w:val="15"/>
          <w:szCs w:val="15"/>
        </w:rPr>
      </w:pPr>
    </w:p>
    <w:sectPr w:rsidR="00816A37">
      <w:headerReference w:type="default" r:id="rId10"/>
      <w:footerReference w:type="default" r:id="rId1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24A4">
      <w:r>
        <w:separator/>
      </w:r>
    </w:p>
  </w:endnote>
  <w:endnote w:type="continuationSeparator" w:id="0">
    <w:p w:rsidR="00000000" w:rsidRDefault="001D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A1"/>
    <w:family w:val="swiss"/>
    <w:pitch w:val="variable"/>
    <w:sig w:usb0="E4002EFF" w:usb1="C000E47F" w:usb2="00000009" w:usb3="00000000" w:csb0="000001FF" w:csb1="00000000"/>
  </w:font>
  <w:font w:name="Bookman Old Style">
    <w:altName w:val="Segoe Print"/>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imHei">
    <w:altName w:val="黑体"/>
    <w:panose1 w:val="02010609060101010101"/>
    <w:charset w:val="86"/>
    <w:family w:val="auto"/>
    <w:pitch w:val="default"/>
    <w:sig w:usb0="00000001" w:usb1="080E0000" w:usb2="00000010" w:usb3="00000000" w:csb0="0004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37" w:rsidRDefault="001D24A4" w:rsidP="001D24A4">
    <w:pPr>
      <w:pStyle w:val="a8"/>
      <w:jc w:val="center"/>
    </w:pPr>
    <w:r>
      <w:rPr>
        <w:noProof/>
      </w:rPr>
      <w:drawing>
        <wp:inline distT="0" distB="0" distL="0" distR="0">
          <wp:extent cx="1386205" cy="419100"/>
          <wp:effectExtent l="0" t="0" r="444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728" cy="421903"/>
                  </a:xfrm>
                  <a:prstGeom prst="rect">
                    <a:avLst/>
                  </a:prstGeom>
                </pic:spPr>
              </pic:pic>
            </a:graphicData>
          </a:graphic>
        </wp:inline>
      </w:drawing>
    </w:r>
    <w:r>
      <w:rPr>
        <w:noProof/>
      </w:rPr>
      <w:drawing>
        <wp:inline distT="0" distB="0" distL="0" distR="0">
          <wp:extent cx="2256155" cy="415290"/>
          <wp:effectExtent l="0" t="0" r="10795"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3466" cy="4167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24A4">
      <w:r>
        <w:separator/>
      </w:r>
    </w:p>
  </w:footnote>
  <w:footnote w:type="continuationSeparator" w:id="0">
    <w:p w:rsidR="00000000" w:rsidRDefault="001D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37" w:rsidRDefault="001D24A4">
    <w:pPr>
      <w:pStyle w:val="a9"/>
    </w:pPr>
    <w:r>
      <w:t xml:space="preserve">              </w:t>
    </w:r>
    <w:r>
      <w:rPr>
        <w:noProof/>
      </w:rPr>
      <w:drawing>
        <wp:inline distT="0" distB="0" distL="0" distR="0">
          <wp:extent cx="466725" cy="438150"/>
          <wp:effectExtent l="0" t="0" r="9525"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Εικόνα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6725" cy="438150"/>
                  </a:xfrm>
                  <a:prstGeom prst="rect">
                    <a:avLst/>
                  </a:prstGeom>
                  <a:noFill/>
                  <a:ln>
                    <a:noFill/>
                  </a:ln>
                </pic:spPr>
              </pic:pic>
            </a:graphicData>
          </a:graphic>
        </wp:inline>
      </w:drawing>
    </w:r>
  </w:p>
  <w:tbl>
    <w:tblPr>
      <w:tblStyle w:val="ab"/>
      <w:tblpPr w:leftFromText="180" w:rightFromText="180" w:vertAnchor="text" w:horzAnchor="page" w:tblpX="1180" w:tblpY="85"/>
      <w:tblOverlap w:val="never"/>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754"/>
    </w:tblGrid>
    <w:tr w:rsidR="00816A37" w:rsidRPr="001D24A4">
      <w:tc>
        <w:tcPr>
          <w:tcW w:w="4981" w:type="dxa"/>
        </w:tcPr>
        <w:p w:rsidR="00816A37" w:rsidRDefault="00816A37">
          <w:pPr>
            <w:pStyle w:val="a9"/>
            <w:rPr>
              <w:rFonts w:ascii="Calibri" w:hAnsi="Calibri" w:cs="Calibri"/>
              <w:sz w:val="22"/>
              <w:szCs w:val="22"/>
            </w:rPr>
          </w:pPr>
        </w:p>
        <w:p w:rsidR="00816A37" w:rsidRDefault="001D24A4">
          <w:pPr>
            <w:pStyle w:val="a9"/>
            <w:rPr>
              <w:rFonts w:ascii="Calibri" w:hAnsi="Calibri" w:cs="Calibri"/>
              <w:sz w:val="22"/>
              <w:szCs w:val="22"/>
            </w:rPr>
          </w:pPr>
          <w:r>
            <w:rPr>
              <w:rFonts w:ascii="Calibri" w:hAnsi="Calibri" w:cs="Calibri"/>
              <w:sz w:val="22"/>
              <w:szCs w:val="22"/>
            </w:rPr>
            <w:t xml:space="preserve">ΕΛΛΗΝΙΚΗ ΔΗΜΟΚΡΑΤΙΑ </w:t>
          </w:r>
        </w:p>
        <w:p w:rsidR="00816A37" w:rsidRDefault="001D24A4">
          <w:pPr>
            <w:pStyle w:val="a9"/>
            <w:rPr>
              <w:rFonts w:ascii="Calibri" w:hAnsi="Calibri" w:cs="Calibri"/>
              <w:sz w:val="22"/>
              <w:szCs w:val="22"/>
            </w:rPr>
          </w:pPr>
          <w:r>
            <w:rPr>
              <w:rFonts w:ascii="Calibri" w:hAnsi="Calibri" w:cs="Calibri"/>
              <w:sz w:val="22"/>
              <w:szCs w:val="22"/>
            </w:rPr>
            <w:t>Υπουργείο Πολιτισμού και Αθλητισμού</w:t>
          </w:r>
        </w:p>
        <w:p w:rsidR="00816A37" w:rsidRDefault="001D24A4">
          <w:pPr>
            <w:pStyle w:val="a9"/>
            <w:rPr>
              <w:rFonts w:ascii="Calibri" w:hAnsi="Calibri" w:cs="Calibri"/>
              <w:sz w:val="22"/>
              <w:szCs w:val="22"/>
            </w:rPr>
          </w:pPr>
          <w:r>
            <w:rPr>
              <w:rFonts w:ascii="Calibri" w:hAnsi="Calibri" w:cs="Calibri"/>
              <w:sz w:val="22"/>
              <w:szCs w:val="22"/>
            </w:rPr>
            <w:t>Γενική Διεύθυνση Αρχαιοτήτων και Πολιτιστικής Κληρονομιάς</w:t>
          </w:r>
        </w:p>
        <w:p w:rsidR="00816A37" w:rsidRDefault="001D24A4">
          <w:pPr>
            <w:pStyle w:val="a9"/>
            <w:rPr>
              <w:rFonts w:ascii="Calibri" w:hAnsi="Calibri" w:cs="Calibri"/>
              <w:sz w:val="22"/>
              <w:szCs w:val="22"/>
            </w:rPr>
          </w:pPr>
          <w:r>
            <w:rPr>
              <w:rFonts w:ascii="Calibri" w:hAnsi="Calibri" w:cs="Calibri"/>
              <w:sz w:val="22"/>
              <w:szCs w:val="22"/>
            </w:rPr>
            <w:t>Διεύθυνση Νεότερης Πολιτιστικής Κληρονομιάς</w:t>
          </w:r>
        </w:p>
      </w:tc>
      <w:tc>
        <w:tcPr>
          <w:tcW w:w="4754" w:type="dxa"/>
        </w:tcPr>
        <w:p w:rsidR="00816A37" w:rsidRPr="001D24A4" w:rsidRDefault="00816A37">
          <w:pPr>
            <w:pStyle w:val="a9"/>
            <w:rPr>
              <w:rFonts w:ascii="Calibri" w:hAnsi="Calibri" w:cs="Calibri"/>
              <w:sz w:val="22"/>
              <w:szCs w:val="22"/>
              <w:lang w:val="en-US"/>
            </w:rPr>
          </w:pPr>
        </w:p>
        <w:p w:rsidR="00816A37" w:rsidRPr="001D24A4" w:rsidRDefault="001D24A4">
          <w:pPr>
            <w:pStyle w:val="a9"/>
            <w:rPr>
              <w:rFonts w:ascii="Calibri" w:hAnsi="Calibri" w:cs="Calibri"/>
              <w:sz w:val="22"/>
              <w:szCs w:val="22"/>
              <w:lang w:val="en-US"/>
            </w:rPr>
          </w:pPr>
          <w:r w:rsidRPr="001D24A4">
            <w:rPr>
              <w:rFonts w:ascii="Calibri" w:hAnsi="Calibri" w:cs="Calibri"/>
              <w:sz w:val="22"/>
              <w:szCs w:val="22"/>
              <w:lang w:val="en-US"/>
            </w:rPr>
            <w:t xml:space="preserve">HELLENIC REPUBLIC      </w:t>
          </w:r>
        </w:p>
        <w:p w:rsidR="00816A37" w:rsidRPr="001D24A4" w:rsidRDefault="001D24A4">
          <w:pPr>
            <w:pStyle w:val="a9"/>
            <w:rPr>
              <w:rFonts w:ascii="Calibri" w:hAnsi="Calibri" w:cs="Calibri"/>
              <w:sz w:val="22"/>
              <w:szCs w:val="22"/>
              <w:lang w:val="en-US"/>
            </w:rPr>
          </w:pPr>
          <w:r w:rsidRPr="001D24A4">
            <w:rPr>
              <w:rFonts w:ascii="Calibri" w:hAnsi="Calibri" w:cs="Calibri"/>
              <w:sz w:val="22"/>
              <w:szCs w:val="22"/>
              <w:lang w:val="en-US"/>
            </w:rPr>
            <w:t xml:space="preserve">Ministry of Culture and Sports     </w:t>
          </w:r>
        </w:p>
        <w:p w:rsidR="00816A37" w:rsidRDefault="001D24A4">
          <w:pPr>
            <w:pStyle w:val="a9"/>
            <w:rPr>
              <w:rFonts w:ascii="Calibri" w:hAnsi="Calibri" w:cs="Calibri"/>
              <w:sz w:val="22"/>
              <w:szCs w:val="22"/>
              <w:lang w:val="en-US"/>
            </w:rPr>
          </w:pPr>
          <w:r w:rsidRPr="001D24A4">
            <w:rPr>
              <w:rFonts w:ascii="Calibri" w:hAnsi="Calibri" w:cs="Calibri"/>
              <w:sz w:val="22"/>
              <w:szCs w:val="22"/>
              <w:lang w:val="en-US"/>
            </w:rPr>
            <w:t>General Directorate of Antiquities</w:t>
          </w:r>
          <w:r w:rsidRPr="001D24A4">
            <w:rPr>
              <w:rFonts w:ascii="Calibri" w:hAnsi="Calibri" w:cs="Calibri"/>
              <w:sz w:val="22"/>
              <w:szCs w:val="22"/>
              <w:lang w:val="en-US"/>
            </w:rPr>
            <w:t xml:space="preserve"> &amp; </w:t>
          </w:r>
          <w:r>
            <w:rPr>
              <w:rFonts w:ascii="Calibri" w:hAnsi="Calibri" w:cs="Calibri"/>
              <w:sz w:val="22"/>
              <w:szCs w:val="22"/>
              <w:lang w:val="en-US"/>
            </w:rPr>
            <w:t>Cultural Heritage</w:t>
          </w:r>
        </w:p>
        <w:p w:rsidR="00816A37" w:rsidRDefault="001D24A4">
          <w:pPr>
            <w:pStyle w:val="a9"/>
            <w:rPr>
              <w:rFonts w:ascii="Calibri" w:hAnsi="Calibri" w:cs="Calibri"/>
              <w:sz w:val="22"/>
              <w:szCs w:val="22"/>
              <w:lang w:val="en-US"/>
            </w:rPr>
          </w:pPr>
          <w:r>
            <w:rPr>
              <w:rFonts w:ascii="Calibri" w:hAnsi="Calibri" w:cs="Calibri"/>
              <w:sz w:val="22"/>
              <w:szCs w:val="22"/>
              <w:lang w:val="en-US"/>
            </w:rPr>
            <w:t>Di</w:t>
          </w:r>
          <w:r>
            <w:rPr>
              <w:rFonts w:ascii="Calibri" w:hAnsi="Calibri" w:cs="Calibri"/>
              <w:sz w:val="22"/>
              <w:szCs w:val="22"/>
              <w:lang w:val="en-US"/>
            </w:rPr>
            <w:t>rectorate of Modern Cultural Heritage</w:t>
          </w:r>
        </w:p>
      </w:tc>
    </w:tr>
  </w:tbl>
  <w:p w:rsidR="00816A37" w:rsidRPr="001D24A4" w:rsidRDefault="00816A37">
    <w:pPr>
      <w:pStyle w:val="a9"/>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7B"/>
    <w:rsid w:val="000101F3"/>
    <w:rsid w:val="00012B7F"/>
    <w:rsid w:val="00015A3E"/>
    <w:rsid w:val="00021429"/>
    <w:rsid w:val="00024B2F"/>
    <w:rsid w:val="00032BE6"/>
    <w:rsid w:val="00033A74"/>
    <w:rsid w:val="00037663"/>
    <w:rsid w:val="0004012B"/>
    <w:rsid w:val="00044429"/>
    <w:rsid w:val="00045446"/>
    <w:rsid w:val="000513B8"/>
    <w:rsid w:val="00060E03"/>
    <w:rsid w:val="00077552"/>
    <w:rsid w:val="00082DB8"/>
    <w:rsid w:val="00093260"/>
    <w:rsid w:val="00093EB5"/>
    <w:rsid w:val="000A27CB"/>
    <w:rsid w:val="000A439A"/>
    <w:rsid w:val="000A5F3B"/>
    <w:rsid w:val="000B17BF"/>
    <w:rsid w:val="000B5935"/>
    <w:rsid w:val="000C3647"/>
    <w:rsid w:val="000C5975"/>
    <w:rsid w:val="0010432E"/>
    <w:rsid w:val="00104822"/>
    <w:rsid w:val="00112855"/>
    <w:rsid w:val="00112EAA"/>
    <w:rsid w:val="00124C34"/>
    <w:rsid w:val="0013262A"/>
    <w:rsid w:val="001343BB"/>
    <w:rsid w:val="00136CBC"/>
    <w:rsid w:val="00156D48"/>
    <w:rsid w:val="00166A83"/>
    <w:rsid w:val="00175357"/>
    <w:rsid w:val="001823F0"/>
    <w:rsid w:val="00194EDF"/>
    <w:rsid w:val="001958A0"/>
    <w:rsid w:val="00197961"/>
    <w:rsid w:val="001B45E2"/>
    <w:rsid w:val="001D0DBC"/>
    <w:rsid w:val="001D24A4"/>
    <w:rsid w:val="001D26DC"/>
    <w:rsid w:val="001E0B97"/>
    <w:rsid w:val="001E1E2B"/>
    <w:rsid w:val="001E6C31"/>
    <w:rsid w:val="001F1F77"/>
    <w:rsid w:val="002078D6"/>
    <w:rsid w:val="00215A28"/>
    <w:rsid w:val="00222825"/>
    <w:rsid w:val="002610C6"/>
    <w:rsid w:val="00274927"/>
    <w:rsid w:val="00286B7B"/>
    <w:rsid w:val="002B0557"/>
    <w:rsid w:val="002B591A"/>
    <w:rsid w:val="002C7416"/>
    <w:rsid w:val="002D0A7C"/>
    <w:rsid w:val="002D13FB"/>
    <w:rsid w:val="002E7007"/>
    <w:rsid w:val="002F42B5"/>
    <w:rsid w:val="002F7EF6"/>
    <w:rsid w:val="003226B2"/>
    <w:rsid w:val="003275D5"/>
    <w:rsid w:val="0033666B"/>
    <w:rsid w:val="00340550"/>
    <w:rsid w:val="00343872"/>
    <w:rsid w:val="00344750"/>
    <w:rsid w:val="00346FC2"/>
    <w:rsid w:val="00360AFE"/>
    <w:rsid w:val="00383624"/>
    <w:rsid w:val="00392A96"/>
    <w:rsid w:val="003933C8"/>
    <w:rsid w:val="003938AC"/>
    <w:rsid w:val="003A0DBB"/>
    <w:rsid w:val="003A1F70"/>
    <w:rsid w:val="003A2317"/>
    <w:rsid w:val="003B7827"/>
    <w:rsid w:val="00407849"/>
    <w:rsid w:val="00407EA8"/>
    <w:rsid w:val="00417276"/>
    <w:rsid w:val="004176D2"/>
    <w:rsid w:val="00417A3F"/>
    <w:rsid w:val="00441546"/>
    <w:rsid w:val="00452307"/>
    <w:rsid w:val="00455CA5"/>
    <w:rsid w:val="00461845"/>
    <w:rsid w:val="00464D0F"/>
    <w:rsid w:val="00477E91"/>
    <w:rsid w:val="00491120"/>
    <w:rsid w:val="004A0B4B"/>
    <w:rsid w:val="004B65EC"/>
    <w:rsid w:val="004B79BE"/>
    <w:rsid w:val="004C107A"/>
    <w:rsid w:val="004D0A6B"/>
    <w:rsid w:val="004F6E46"/>
    <w:rsid w:val="004F7250"/>
    <w:rsid w:val="004F7D48"/>
    <w:rsid w:val="00534732"/>
    <w:rsid w:val="00550F4F"/>
    <w:rsid w:val="00566CB7"/>
    <w:rsid w:val="00593B80"/>
    <w:rsid w:val="0059568C"/>
    <w:rsid w:val="0059674E"/>
    <w:rsid w:val="005A0C35"/>
    <w:rsid w:val="005B1555"/>
    <w:rsid w:val="005B2EFF"/>
    <w:rsid w:val="005D60E2"/>
    <w:rsid w:val="005F230D"/>
    <w:rsid w:val="00630B1D"/>
    <w:rsid w:val="00643584"/>
    <w:rsid w:val="00682B7A"/>
    <w:rsid w:val="00686A1A"/>
    <w:rsid w:val="00691492"/>
    <w:rsid w:val="00694B87"/>
    <w:rsid w:val="00697F87"/>
    <w:rsid w:val="006A0BCF"/>
    <w:rsid w:val="006A61F8"/>
    <w:rsid w:val="006B5A4E"/>
    <w:rsid w:val="006C6A72"/>
    <w:rsid w:val="006F0C9F"/>
    <w:rsid w:val="006F69F8"/>
    <w:rsid w:val="007178DB"/>
    <w:rsid w:val="00725904"/>
    <w:rsid w:val="00733DE6"/>
    <w:rsid w:val="007750BD"/>
    <w:rsid w:val="00776974"/>
    <w:rsid w:val="007825FD"/>
    <w:rsid w:val="007978A9"/>
    <w:rsid w:val="007A4A70"/>
    <w:rsid w:val="007C13AD"/>
    <w:rsid w:val="007E123D"/>
    <w:rsid w:val="007F350B"/>
    <w:rsid w:val="008147A0"/>
    <w:rsid w:val="00816A37"/>
    <w:rsid w:val="00841B66"/>
    <w:rsid w:val="00842525"/>
    <w:rsid w:val="008515D6"/>
    <w:rsid w:val="00855586"/>
    <w:rsid w:val="00856465"/>
    <w:rsid w:val="00860570"/>
    <w:rsid w:val="00861638"/>
    <w:rsid w:val="008735C4"/>
    <w:rsid w:val="008769A5"/>
    <w:rsid w:val="008937DD"/>
    <w:rsid w:val="008A58EB"/>
    <w:rsid w:val="008A6B92"/>
    <w:rsid w:val="008B41E0"/>
    <w:rsid w:val="008C124D"/>
    <w:rsid w:val="008C5FC4"/>
    <w:rsid w:val="008D1E94"/>
    <w:rsid w:val="008E1FDE"/>
    <w:rsid w:val="00912B56"/>
    <w:rsid w:val="009237D5"/>
    <w:rsid w:val="00931743"/>
    <w:rsid w:val="00933E92"/>
    <w:rsid w:val="0093768E"/>
    <w:rsid w:val="00957EF5"/>
    <w:rsid w:val="00975333"/>
    <w:rsid w:val="00976784"/>
    <w:rsid w:val="0098626E"/>
    <w:rsid w:val="00996069"/>
    <w:rsid w:val="009A1C0B"/>
    <w:rsid w:val="009B08F8"/>
    <w:rsid w:val="009E04C4"/>
    <w:rsid w:val="009E33A8"/>
    <w:rsid w:val="009F523E"/>
    <w:rsid w:val="00A252C3"/>
    <w:rsid w:val="00A35542"/>
    <w:rsid w:val="00A42C45"/>
    <w:rsid w:val="00A51D55"/>
    <w:rsid w:val="00A63D08"/>
    <w:rsid w:val="00A81A84"/>
    <w:rsid w:val="00A85E5F"/>
    <w:rsid w:val="00A864AA"/>
    <w:rsid w:val="00A94B2D"/>
    <w:rsid w:val="00AA3707"/>
    <w:rsid w:val="00AB18E8"/>
    <w:rsid w:val="00AB4D39"/>
    <w:rsid w:val="00AC3D70"/>
    <w:rsid w:val="00AC42CE"/>
    <w:rsid w:val="00AC74B3"/>
    <w:rsid w:val="00AD08C2"/>
    <w:rsid w:val="00AD3098"/>
    <w:rsid w:val="00AD4B8F"/>
    <w:rsid w:val="00B13512"/>
    <w:rsid w:val="00B3112F"/>
    <w:rsid w:val="00B36BF6"/>
    <w:rsid w:val="00B43366"/>
    <w:rsid w:val="00B45AF2"/>
    <w:rsid w:val="00B539C2"/>
    <w:rsid w:val="00B6780E"/>
    <w:rsid w:val="00B8070D"/>
    <w:rsid w:val="00B92676"/>
    <w:rsid w:val="00B92F5A"/>
    <w:rsid w:val="00B96778"/>
    <w:rsid w:val="00BA3890"/>
    <w:rsid w:val="00BB49C2"/>
    <w:rsid w:val="00BB49CB"/>
    <w:rsid w:val="00BB688F"/>
    <w:rsid w:val="00BC1FDE"/>
    <w:rsid w:val="00BC5FD9"/>
    <w:rsid w:val="00BE5040"/>
    <w:rsid w:val="00C1405C"/>
    <w:rsid w:val="00C15975"/>
    <w:rsid w:val="00C2399C"/>
    <w:rsid w:val="00C30A04"/>
    <w:rsid w:val="00C30DFC"/>
    <w:rsid w:val="00C3323A"/>
    <w:rsid w:val="00C40A31"/>
    <w:rsid w:val="00C44111"/>
    <w:rsid w:val="00C76680"/>
    <w:rsid w:val="00C8025A"/>
    <w:rsid w:val="00C821D2"/>
    <w:rsid w:val="00C84432"/>
    <w:rsid w:val="00C845F5"/>
    <w:rsid w:val="00C97789"/>
    <w:rsid w:val="00CB54CA"/>
    <w:rsid w:val="00CC12A3"/>
    <w:rsid w:val="00CC4745"/>
    <w:rsid w:val="00CE5162"/>
    <w:rsid w:val="00CF72D1"/>
    <w:rsid w:val="00D04CE6"/>
    <w:rsid w:val="00D139A0"/>
    <w:rsid w:val="00D1448D"/>
    <w:rsid w:val="00D15A2E"/>
    <w:rsid w:val="00D16AFF"/>
    <w:rsid w:val="00D206B3"/>
    <w:rsid w:val="00D3332E"/>
    <w:rsid w:val="00D35E82"/>
    <w:rsid w:val="00D4685D"/>
    <w:rsid w:val="00D63442"/>
    <w:rsid w:val="00D70816"/>
    <w:rsid w:val="00D874DC"/>
    <w:rsid w:val="00D87802"/>
    <w:rsid w:val="00D96008"/>
    <w:rsid w:val="00DC078F"/>
    <w:rsid w:val="00DD2BE7"/>
    <w:rsid w:val="00DD6FC5"/>
    <w:rsid w:val="00DF7232"/>
    <w:rsid w:val="00E04B5B"/>
    <w:rsid w:val="00E15D0D"/>
    <w:rsid w:val="00E1781D"/>
    <w:rsid w:val="00E30768"/>
    <w:rsid w:val="00E37F18"/>
    <w:rsid w:val="00E43976"/>
    <w:rsid w:val="00E54C36"/>
    <w:rsid w:val="00E61BD2"/>
    <w:rsid w:val="00E7070A"/>
    <w:rsid w:val="00E80A6D"/>
    <w:rsid w:val="00EB2777"/>
    <w:rsid w:val="00EB3F4C"/>
    <w:rsid w:val="00EB6127"/>
    <w:rsid w:val="00ED3E58"/>
    <w:rsid w:val="00ED6EA3"/>
    <w:rsid w:val="00EE6D29"/>
    <w:rsid w:val="00F13925"/>
    <w:rsid w:val="00F26A1C"/>
    <w:rsid w:val="00F63A77"/>
    <w:rsid w:val="00F71E7F"/>
    <w:rsid w:val="00F83289"/>
    <w:rsid w:val="00F86AF9"/>
    <w:rsid w:val="00F95AEF"/>
    <w:rsid w:val="00FC6BFE"/>
    <w:rsid w:val="02C5322F"/>
    <w:rsid w:val="052E73AE"/>
    <w:rsid w:val="0FB71D83"/>
    <w:rsid w:val="1D647040"/>
    <w:rsid w:val="1E4001FC"/>
    <w:rsid w:val="1FB242C3"/>
    <w:rsid w:val="23FE17A2"/>
    <w:rsid w:val="2DA36BFC"/>
    <w:rsid w:val="332C381D"/>
    <w:rsid w:val="39BC43CA"/>
    <w:rsid w:val="39DF2B67"/>
    <w:rsid w:val="42065C44"/>
    <w:rsid w:val="49AA0997"/>
    <w:rsid w:val="534E3CB3"/>
    <w:rsid w:val="539C5D58"/>
    <w:rsid w:val="5BBD7CF4"/>
    <w:rsid w:val="62CD73D7"/>
    <w:rsid w:val="6DEE5221"/>
    <w:rsid w:val="7457305A"/>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F5AF"/>
  <w15:docId w15:val="{5DBB5B15-7D94-4583-900C-A51E499D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rPr>
  </w:style>
  <w:style w:type="paragraph" w:styleId="1">
    <w:name w:val="heading 1"/>
    <w:basedOn w:val="a"/>
    <w:next w:val="a"/>
    <w:link w:val="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paragraph" w:styleId="a4">
    <w:name w:val="Body Text"/>
    <w:basedOn w:val="a"/>
    <w:qFormat/>
    <w:rPr>
      <w:rFonts w:ascii="Bookman Old Style" w:hAnsi="Bookman Old Style"/>
      <w:sz w:val="22"/>
    </w:rPr>
  </w:style>
  <w:style w:type="paragraph" w:styleId="a5">
    <w:name w:val="caption"/>
    <w:basedOn w:val="a"/>
    <w:next w:val="a"/>
    <w:uiPriority w:val="35"/>
    <w:semiHidden/>
    <w:unhideWhenUsed/>
    <w:qFormat/>
    <w:rPr>
      <w:rFonts w:ascii="Arial" w:eastAsia="SimHei" w:hAnsi="Arial" w:cs="Arial"/>
    </w:rPr>
  </w:style>
  <w:style w:type="paragraph" w:styleId="a6">
    <w:name w:val="annotation text"/>
    <w:basedOn w:val="a"/>
    <w:link w:val="Char0"/>
    <w:uiPriority w:val="99"/>
    <w:semiHidden/>
    <w:unhideWhenUsed/>
    <w:qFormat/>
  </w:style>
  <w:style w:type="paragraph" w:styleId="a7">
    <w:name w:val="annotation subject"/>
    <w:basedOn w:val="a6"/>
    <w:next w:val="a6"/>
    <w:link w:val="Char1"/>
    <w:uiPriority w:val="99"/>
    <w:semiHidden/>
    <w:unhideWhenUsed/>
    <w:qFormat/>
    <w:rPr>
      <w:b/>
      <w:bCs/>
    </w:rPr>
  </w:style>
  <w:style w:type="paragraph" w:styleId="a8">
    <w:name w:val="footer"/>
    <w:basedOn w:val="a"/>
    <w:link w:val="Char2"/>
    <w:uiPriority w:val="99"/>
    <w:unhideWhenUsed/>
    <w:qFormat/>
    <w:pPr>
      <w:tabs>
        <w:tab w:val="center" w:pos="4153"/>
        <w:tab w:val="right" w:pos="8306"/>
      </w:tabs>
    </w:pPr>
  </w:style>
  <w:style w:type="paragraph" w:styleId="a9">
    <w:name w:val="header"/>
    <w:basedOn w:val="a"/>
    <w:link w:val="Char3"/>
    <w:uiPriority w:val="99"/>
    <w:unhideWhenUsed/>
    <w:qFormat/>
    <w:pPr>
      <w:tabs>
        <w:tab w:val="center" w:pos="4153"/>
        <w:tab w:val="right" w:pos="8306"/>
      </w:tabs>
    </w:pPr>
  </w:style>
  <w:style w:type="character" w:styleId="aa">
    <w:name w:val="annotation reference"/>
    <w:basedOn w:val="a0"/>
    <w:uiPriority w:val="99"/>
    <w:semiHidden/>
    <w:unhideWhenUsed/>
    <w:qFormat/>
    <w:rPr>
      <w:sz w:val="16"/>
      <w:szCs w:val="16"/>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Before3pt">
    <w:name w:val="Style Style2 + Before:  3 pt"/>
    <w:basedOn w:val="a"/>
    <w:uiPriority w:val="99"/>
    <w:qFormat/>
    <w:pPr>
      <w:spacing w:before="60" w:line="360" w:lineRule="auto"/>
    </w:pPr>
    <w:rPr>
      <w:rFonts w:ascii="Arial" w:hAnsi="Arial"/>
      <w:b/>
      <w:bCs/>
      <w:sz w:val="22"/>
    </w:rPr>
  </w:style>
  <w:style w:type="character" w:customStyle="1" w:styleId="Char0">
    <w:name w:val="Κείμενο σχολίου Char"/>
    <w:basedOn w:val="a0"/>
    <w:link w:val="a6"/>
    <w:uiPriority w:val="99"/>
    <w:semiHidden/>
    <w:qFormat/>
    <w:rPr>
      <w:rFonts w:ascii="Times New Roman" w:eastAsia="Times New Roman" w:hAnsi="Times New Roman" w:cs="Times New Roman"/>
      <w:sz w:val="20"/>
      <w:szCs w:val="20"/>
      <w:lang w:eastAsia="el-GR"/>
    </w:rPr>
  </w:style>
  <w:style w:type="character" w:customStyle="1" w:styleId="Char1">
    <w:name w:val="Θέμα σχολίου Char"/>
    <w:basedOn w:val="Char0"/>
    <w:link w:val="a7"/>
    <w:uiPriority w:val="99"/>
    <w:semiHidden/>
    <w:qFormat/>
    <w:rPr>
      <w:rFonts w:ascii="Times New Roman" w:eastAsia="Times New Roman" w:hAnsi="Times New Roman" w:cs="Times New Roman"/>
      <w:b/>
      <w:bCs/>
      <w:sz w:val="20"/>
      <w:szCs w:val="20"/>
      <w:lang w:eastAsia="el-GR"/>
    </w:rPr>
  </w:style>
  <w:style w:type="character" w:customStyle="1" w:styleId="Char3">
    <w:name w:val="Κεφαλίδα Char"/>
    <w:basedOn w:val="a0"/>
    <w:link w:val="a9"/>
    <w:uiPriority w:val="99"/>
    <w:qFormat/>
    <w:rPr>
      <w:rFonts w:ascii="Times New Roman" w:eastAsia="Times New Roman" w:hAnsi="Times New Roman" w:cs="Times New Roman"/>
      <w:sz w:val="20"/>
      <w:szCs w:val="20"/>
      <w:lang w:eastAsia="el-GR"/>
    </w:rPr>
  </w:style>
  <w:style w:type="character" w:customStyle="1" w:styleId="Char2">
    <w:name w:val="Υποσέλιδο Char"/>
    <w:basedOn w:val="a0"/>
    <w:link w:val="a8"/>
    <w:uiPriority w:val="99"/>
    <w:qFormat/>
    <w:rPr>
      <w:rFonts w:ascii="Times New Roman" w:eastAsia="Times New Roman" w:hAnsi="Times New Roman" w:cs="Times New Roman"/>
      <w:sz w:val="20"/>
      <w:szCs w:val="20"/>
      <w:lang w:eastAsia="el-GR"/>
    </w:rPr>
  </w:style>
  <w:style w:type="character" w:customStyle="1" w:styleId="Char">
    <w:name w:val="Κείμενο πλαισίου Char"/>
    <w:basedOn w:val="a0"/>
    <w:link w:val="a3"/>
    <w:uiPriority w:val="99"/>
    <w:semiHidden/>
    <w:qFormat/>
    <w:rPr>
      <w:rFonts w:ascii="Segoe UI" w:eastAsia="Times New Roman" w:hAnsi="Segoe UI" w:cs="Segoe UI"/>
      <w:sz w:val="18"/>
      <w:szCs w:val="18"/>
      <w:lang w:eastAsia="el-GR"/>
    </w:rPr>
  </w:style>
  <w:style w:type="paragraph" w:customStyle="1" w:styleId="Revision1">
    <w:name w:val="Revision1"/>
    <w:hidden/>
    <w:uiPriority w:val="99"/>
    <w:semiHidden/>
    <w:qFormat/>
    <w:pPr>
      <w:spacing w:after="0" w:line="240" w:lineRule="auto"/>
    </w:pPr>
    <w:rPr>
      <w:rFonts w:eastAsia="Times New Roman"/>
    </w:rPr>
  </w:style>
  <w:style w:type="character" w:customStyle="1" w:styleId="1Char">
    <w:name w:val="Επικεφαλίδα 1 Char"/>
    <w:basedOn w:val="a0"/>
    <w:link w:val="1"/>
    <w:uiPriority w:val="9"/>
    <w:qFormat/>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qFormat/>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qFormat/>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C15DB23-BF05-400F-A7C3-97688A21B9B1}"/>
</file>

<file path=customXml/itemProps3.xml><?xml version="1.0" encoding="utf-8"?>
<ds:datastoreItem xmlns:ds="http://schemas.openxmlformats.org/officeDocument/2006/customXml" ds:itemID="{602F23C3-5F27-40CE-A1CC-2CD23D98B2D8}"/>
</file>

<file path=customXml/itemProps4.xml><?xml version="1.0" encoding="utf-8"?>
<ds:datastoreItem xmlns:ds="http://schemas.openxmlformats.org/officeDocument/2006/customXml" ds:itemID="{D7567CEB-F917-4389-95DF-5578CCEC9045}"/>
</file>

<file path=customXml/itemProps5.xml><?xml version="1.0" encoding="utf-8"?>
<ds:datastoreItem xmlns:ds="http://schemas.openxmlformats.org/officeDocument/2006/customXml" ds:itemID="{6A004AB5-6467-47E7-97BF-F7B6A2C1BFA0}"/>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2124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ΕΥΤΟΠ</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tatoi</dc:creator>
  <cp:lastModifiedBy>Thanos Giannopoulos</cp:lastModifiedBy>
  <cp:revision>12</cp:revision>
  <cp:lastPrinted>2022-07-11T07:27:00Z</cp:lastPrinted>
  <dcterms:created xsi:type="dcterms:W3CDTF">2022-03-11T10:01:00Z</dcterms:created>
  <dcterms:modified xsi:type="dcterms:W3CDTF">2022-07-19T08:05:00Z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ContentTypeId">
    <vt:lpwstr>0x010100ECDDDAFF6CA6494BB9A76D6EF082445F</vt:lpwstr>
  </property>
</Properties>
</file>