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84C" w:rsidRPr="00EB26CA" w:rsidRDefault="00AC784C" w:rsidP="00F7656F">
      <w:pPr>
        <w:pStyle w:val="Default"/>
        <w:rPr>
          <w:b/>
        </w:rPr>
      </w:pPr>
      <w:bookmarkStart w:id="0" w:name="_GoBack"/>
      <w:bookmarkEnd w:id="0"/>
    </w:p>
    <w:p w:rsidR="00AC784C" w:rsidRPr="00EB26CA" w:rsidRDefault="00AC784C" w:rsidP="00F7656F">
      <w:pPr>
        <w:jc w:val="both"/>
        <w:rPr>
          <w:rFonts w:ascii="Arial" w:hAnsi="Arial" w:cs="Arial"/>
          <w:b/>
        </w:rPr>
      </w:pPr>
      <w:r w:rsidRPr="00EB26CA">
        <w:rPr>
          <w:rFonts w:ascii="Arial" w:hAnsi="Arial" w:cs="Arial"/>
          <w:b/>
        </w:rPr>
        <w:t xml:space="preserve"> «Αποκατάσταση &amp; Ανάδειξη χερσαίων τειχών του Κάστρου Χίου (από προμαχώνα Α έως και προμαχώνα Γ)» </w:t>
      </w:r>
    </w:p>
    <w:p w:rsidR="00AC784C" w:rsidRDefault="00AC784C" w:rsidP="00F7656F">
      <w:pPr>
        <w:jc w:val="both"/>
        <w:rPr>
          <w:rFonts w:ascii="Arial" w:hAnsi="Arial" w:cs="Arial"/>
        </w:rPr>
      </w:pPr>
      <w:r>
        <w:rPr>
          <w:rFonts w:ascii="Arial" w:hAnsi="Arial" w:cs="Arial"/>
        </w:rPr>
        <w:t xml:space="preserve">Το έργο </w:t>
      </w:r>
      <w:r w:rsidRPr="00F7656F">
        <w:rPr>
          <w:rFonts w:ascii="Arial" w:hAnsi="Arial" w:cs="Arial"/>
        </w:rPr>
        <w:t xml:space="preserve">«Αποκατάσταση &amp; Ανάδειξη χερσαίων τειχών του Κάστρου Χίου (από προμαχώνα Α έως και προμαχώνα Γ)» </w:t>
      </w:r>
      <w:r>
        <w:rPr>
          <w:rFonts w:ascii="Arial" w:hAnsi="Arial" w:cs="Arial"/>
        </w:rPr>
        <w:t>εντάχθηκε στο Επιχειρησιακό Πρόγραμμα «Βόρειο Αιγαίο 2014-2020» με προϋπολογισμό 800.000,00€, χρηματοδότηση από το Ευρωπαϊκό Ταμείο Περιφερειακής Ανάπτυξης και δικαιούχο την Εφορεία Αρχαιοτήτων Χίου.</w:t>
      </w:r>
    </w:p>
    <w:p w:rsidR="00AC784C" w:rsidRPr="00194F3A" w:rsidRDefault="00AC784C" w:rsidP="00194F3A">
      <w:pPr>
        <w:jc w:val="both"/>
        <w:rPr>
          <w:rFonts w:ascii="Arial" w:hAnsi="Arial" w:cs="Arial"/>
        </w:rPr>
      </w:pPr>
      <w:r w:rsidRPr="00194F3A">
        <w:rPr>
          <w:rFonts w:ascii="Arial" w:hAnsi="Arial" w:cs="Arial"/>
        </w:rPr>
        <w:t>Η πράξη έχει ως κύρια συνιστώσα</w:t>
      </w:r>
      <w:r>
        <w:rPr>
          <w:rFonts w:ascii="Arial" w:hAnsi="Arial" w:cs="Arial"/>
        </w:rPr>
        <w:t xml:space="preserve"> τις</w:t>
      </w:r>
      <w:r w:rsidRPr="00194F3A">
        <w:rPr>
          <w:rFonts w:ascii="Arial" w:hAnsi="Arial" w:cs="Arial"/>
        </w:rPr>
        <w:t xml:space="preserve"> ήπιες αρχιτεκτονικές επεμβάσεις που θα αποκαταστήσουν και θα αναδείξουν τα χερσαία τείχη του μεσαιωνικού Κάστρου της Χίου που έχουν μέτωπο προς την πόλη και ειδικότερα από τον Προμαχώνα Α (περιοχή Porta Maggiore) έως και τον Προμαχώνα Γ. Μετά το πέρας των εργασιών θα έχουν ανασχεθεί οι φθορές του μνημείου και το Κάστρο της Χίου θα αποτελέσει πόλο έλξης για κάθε επισκέπτη της πόλης. Συνοπτικά θα γίνουν εργασίες καθαρισμών,</w:t>
      </w:r>
      <w:r>
        <w:rPr>
          <w:rFonts w:ascii="Arial" w:hAnsi="Arial" w:cs="Arial"/>
        </w:rPr>
        <w:t xml:space="preserve"> </w:t>
      </w:r>
      <w:r w:rsidRPr="00194F3A">
        <w:rPr>
          <w:rFonts w:ascii="Arial" w:hAnsi="Arial" w:cs="Arial"/>
        </w:rPr>
        <w:t>στερεώσεων,</w:t>
      </w:r>
      <w:r>
        <w:rPr>
          <w:rFonts w:ascii="Arial" w:hAnsi="Arial" w:cs="Arial"/>
        </w:rPr>
        <w:t xml:space="preserve"> </w:t>
      </w:r>
      <w:r w:rsidRPr="00194F3A">
        <w:rPr>
          <w:rFonts w:ascii="Arial" w:hAnsi="Arial" w:cs="Arial"/>
        </w:rPr>
        <w:t>πληρώσεων ρωγμών, ενεμάτων, ανακτήσεων, αρμολογήσεων κ.α. Στην κεντρική πύλη του Κάστρου, Porta Maggiore</w:t>
      </w:r>
      <w:r>
        <w:rPr>
          <w:rFonts w:ascii="Arial" w:hAnsi="Arial" w:cs="Arial"/>
        </w:rPr>
        <w:t xml:space="preserve"> </w:t>
      </w:r>
      <w:r w:rsidRPr="00194F3A">
        <w:rPr>
          <w:rFonts w:ascii="Arial" w:hAnsi="Arial" w:cs="Arial"/>
        </w:rPr>
        <w:t>θα γίνουν εργασίες συντήρησης. Για την γνωστοποίηση του έργου στο κοινό θα διοργανωθεί Ημερίδα και θα τυπωθ</w:t>
      </w:r>
      <w:r>
        <w:rPr>
          <w:rFonts w:ascii="Arial" w:hAnsi="Arial" w:cs="Arial"/>
        </w:rPr>
        <w:t>εί</w:t>
      </w:r>
      <w:r w:rsidRPr="00194F3A">
        <w:rPr>
          <w:rFonts w:ascii="Arial" w:hAnsi="Arial" w:cs="Arial"/>
        </w:rPr>
        <w:t xml:space="preserve"> ενημερωτικό τεύχος και δίγλωσσο πολύπτυχο φυλλάδιο. </w:t>
      </w:r>
    </w:p>
    <w:p w:rsidR="00AC784C" w:rsidRDefault="00AC784C" w:rsidP="00C157BA">
      <w:pPr>
        <w:jc w:val="both"/>
        <w:rPr>
          <w:rFonts w:ascii="Arial" w:hAnsi="Arial" w:cs="Arial"/>
        </w:rPr>
      </w:pPr>
      <w:r w:rsidRPr="00C157BA">
        <w:rPr>
          <w:rFonts w:ascii="Arial" w:hAnsi="Arial" w:cs="Arial"/>
        </w:rPr>
        <w:t xml:space="preserve">Από την στερέωση, αποκατάσταση και συντήρηση του Μνημείου, η ΕΦΑ </w:t>
      </w:r>
      <w:r>
        <w:rPr>
          <w:rFonts w:ascii="Arial" w:hAnsi="Arial" w:cs="Arial"/>
        </w:rPr>
        <w:t>Χίου</w:t>
      </w:r>
      <w:r w:rsidRPr="00C157BA">
        <w:rPr>
          <w:rFonts w:ascii="Arial" w:hAnsi="Arial" w:cs="Arial"/>
        </w:rPr>
        <w:t xml:space="preserve"> Θα αποδ</w:t>
      </w:r>
      <w:r>
        <w:rPr>
          <w:rFonts w:ascii="Arial" w:hAnsi="Arial" w:cs="Arial"/>
        </w:rPr>
        <w:t>όσει</w:t>
      </w:r>
      <w:r w:rsidRPr="00C157BA">
        <w:rPr>
          <w:rFonts w:ascii="Arial" w:hAnsi="Arial" w:cs="Arial"/>
        </w:rPr>
        <w:t xml:space="preserve"> αποκατεστημένο στο κοινό, τμήμα του μεσαιωνικού Κάστρου της Χίου, μήκους 153,83 μ, από τον Προμαχώνα Α έως και τον Προμαχώνα Γ, συντηρημένη </w:t>
      </w:r>
      <w:r>
        <w:rPr>
          <w:rFonts w:ascii="Arial" w:hAnsi="Arial" w:cs="Arial"/>
        </w:rPr>
        <w:t>τ</w:t>
      </w:r>
      <w:r w:rsidRPr="00C157BA">
        <w:rPr>
          <w:rFonts w:ascii="Arial" w:hAnsi="Arial" w:cs="Arial"/>
        </w:rPr>
        <w:t>η</w:t>
      </w:r>
      <w:r>
        <w:rPr>
          <w:rFonts w:ascii="Arial" w:hAnsi="Arial" w:cs="Arial"/>
        </w:rPr>
        <w:t>ν</w:t>
      </w:r>
      <w:r w:rsidRPr="00C157BA">
        <w:rPr>
          <w:rFonts w:ascii="Arial" w:hAnsi="Arial" w:cs="Arial"/>
        </w:rPr>
        <w:t xml:space="preserve"> κεντρική πύλη (Porta Maggiore) του οχυρού, </w:t>
      </w:r>
      <w:r>
        <w:rPr>
          <w:rFonts w:ascii="Arial" w:hAnsi="Arial" w:cs="Arial"/>
        </w:rPr>
        <w:t>θα διοργανώσει η</w:t>
      </w:r>
      <w:r w:rsidRPr="00C157BA">
        <w:rPr>
          <w:rFonts w:ascii="Arial" w:hAnsi="Arial" w:cs="Arial"/>
        </w:rPr>
        <w:t>μερίδα ενημέρωσης του κοινού</w:t>
      </w:r>
      <w:r>
        <w:rPr>
          <w:rFonts w:ascii="Arial" w:hAnsi="Arial" w:cs="Arial"/>
        </w:rPr>
        <w:t xml:space="preserve"> και θα ετοιμάσει </w:t>
      </w:r>
      <w:r w:rsidRPr="00C157BA">
        <w:rPr>
          <w:rFonts w:ascii="Arial" w:hAnsi="Arial" w:cs="Arial"/>
        </w:rPr>
        <w:t xml:space="preserve">ενημερωτικό τεύχος και πολύπτυχο δίγλωσσο φυλλάδιο. </w:t>
      </w:r>
    </w:p>
    <w:p w:rsidR="00EB26CA" w:rsidRDefault="00EB26CA" w:rsidP="00C157BA">
      <w:pPr>
        <w:jc w:val="both"/>
        <w:rPr>
          <w:rFonts w:ascii="Arial" w:hAnsi="Arial" w:cs="Arial"/>
        </w:rPr>
      </w:pPr>
    </w:p>
    <w:p w:rsidR="00EB26CA" w:rsidRDefault="00EB26CA" w:rsidP="00C157BA">
      <w:pPr>
        <w:jc w:val="both"/>
        <w:rPr>
          <w:rFonts w:ascii="Arial" w:hAnsi="Arial" w:cs="Arial"/>
        </w:rPr>
      </w:pPr>
    </w:p>
    <w:p w:rsidR="00EB26CA" w:rsidRPr="00C157BA" w:rsidRDefault="00EB26CA" w:rsidP="00C157BA">
      <w:pPr>
        <w:jc w:val="both"/>
        <w:rPr>
          <w:rFonts w:ascii="Arial" w:hAnsi="Arial" w:cs="Arial"/>
        </w:rPr>
      </w:pPr>
    </w:p>
    <w:p w:rsidR="00AC784C" w:rsidRPr="00C157BA" w:rsidRDefault="00AC784C" w:rsidP="00C157BA">
      <w:pPr>
        <w:pStyle w:val="Default"/>
        <w:jc w:val="both"/>
        <w:rPr>
          <w:rFonts w:ascii="Arial" w:hAnsi="Arial" w:cs="Arial"/>
          <w:lang w:val="el-GR"/>
        </w:rPr>
      </w:pPr>
    </w:p>
    <w:p w:rsidR="00EB26CA" w:rsidRDefault="00AC784C" w:rsidP="00360DEC">
      <w:pPr>
        <w:jc w:val="both"/>
        <w:rPr>
          <w:rFonts w:ascii="Arial" w:hAnsi="Arial" w:cs="Arial"/>
          <w:color w:val="000000"/>
        </w:rPr>
      </w:pPr>
      <w:r>
        <w:rPr>
          <w:rFonts w:ascii="Arial" w:hAnsi="Arial" w:cs="Arial"/>
          <w:color w:val="000000"/>
        </w:rPr>
        <w:t xml:space="preserve">     </w:t>
      </w:r>
    </w:p>
    <w:p w:rsidR="00EB26CA" w:rsidRDefault="00EB26CA" w:rsidP="00EB26CA">
      <w:pPr>
        <w:jc w:val="center"/>
        <w:rPr>
          <w:rFonts w:ascii="Arial" w:hAnsi="Arial" w:cs="Arial"/>
          <w:color w:val="000000"/>
        </w:rPr>
      </w:pPr>
    </w:p>
    <w:p w:rsidR="00EB26CA" w:rsidRDefault="00EB26CA" w:rsidP="00EB26CA">
      <w:pPr>
        <w:jc w:val="center"/>
        <w:rPr>
          <w:rFonts w:ascii="Arial" w:hAnsi="Arial" w:cs="Arial"/>
          <w:color w:val="000000"/>
        </w:rPr>
      </w:pPr>
    </w:p>
    <w:p w:rsidR="00EB26CA" w:rsidRDefault="00DE7EA7" w:rsidP="00EB26CA">
      <w:pPr>
        <w:jc w:val="center"/>
        <w:rPr>
          <w:rFonts w:ascii="Arial" w:hAnsi="Arial" w:cs="Arial"/>
          <w:color w:val="000000"/>
        </w:rPr>
      </w:pPr>
      <w:r w:rsidRPr="00897E01">
        <w:rPr>
          <w:rFonts w:ascii="Arial" w:hAnsi="Arial" w:cs="Arial"/>
          <w:noProof/>
          <w:color w:val="000000"/>
          <w:lang w:eastAsia="el-GR"/>
        </w:rPr>
        <w:lastRenderedPageBreak/>
        <w:drawing>
          <wp:inline distT="0" distB="0" distL="0" distR="0">
            <wp:extent cx="6353175" cy="5819775"/>
            <wp:effectExtent l="0" t="0" r="0"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3175" cy="5819775"/>
                    </a:xfrm>
                    <a:prstGeom prst="rect">
                      <a:avLst/>
                    </a:prstGeom>
                    <a:noFill/>
                    <a:ln>
                      <a:noFill/>
                    </a:ln>
                  </pic:spPr>
                </pic:pic>
              </a:graphicData>
            </a:graphic>
          </wp:inline>
        </w:drawing>
      </w:r>
    </w:p>
    <w:p w:rsidR="00AC784C" w:rsidRPr="00507C76" w:rsidRDefault="00DE7EA7" w:rsidP="00EB26CA">
      <w:pPr>
        <w:jc w:val="center"/>
        <w:rPr>
          <w:rFonts w:ascii="Arial" w:hAnsi="Arial" w:cs="Arial"/>
          <w:color w:val="000000"/>
        </w:rPr>
      </w:pPr>
      <w:r w:rsidRPr="00897E01">
        <w:rPr>
          <w:rFonts w:ascii="Arial" w:hAnsi="Arial" w:cs="Arial"/>
          <w:noProof/>
          <w:color w:val="000000"/>
          <w:lang w:eastAsia="el-GR"/>
        </w:rPr>
        <w:lastRenderedPageBreak/>
        <w:drawing>
          <wp:inline distT="0" distB="0" distL="0" distR="0">
            <wp:extent cx="6553200" cy="62484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3200" cy="6248400"/>
                    </a:xfrm>
                    <a:prstGeom prst="rect">
                      <a:avLst/>
                    </a:prstGeom>
                    <a:noFill/>
                    <a:ln>
                      <a:noFill/>
                    </a:ln>
                  </pic:spPr>
                </pic:pic>
              </a:graphicData>
            </a:graphic>
          </wp:inline>
        </w:drawing>
      </w:r>
    </w:p>
    <w:sectPr w:rsidR="00AC784C" w:rsidRPr="00507C76" w:rsidSect="00606F91">
      <w:headerReference w:type="default" r:id="rId8"/>
      <w:footerReference w:type="default" r:id="rId9"/>
      <w:pgSz w:w="11906" w:h="16838"/>
      <w:pgMar w:top="2237" w:right="179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640" w:rsidRDefault="00600640" w:rsidP="00117712">
      <w:pPr>
        <w:spacing w:after="0" w:line="240" w:lineRule="auto"/>
      </w:pPr>
      <w:r>
        <w:separator/>
      </w:r>
    </w:p>
  </w:endnote>
  <w:endnote w:type="continuationSeparator" w:id="0">
    <w:p w:rsidR="00600640" w:rsidRDefault="00600640"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6CA" w:rsidRDefault="00DE7EA7">
    <w:pPr>
      <w:pStyle w:val="a5"/>
    </w:pPr>
    <w:r>
      <w:rPr>
        <w:noProof/>
        <w:lang w:eastAsia="el-GR"/>
      </w:rPr>
      <w:drawing>
        <wp:anchor distT="0" distB="0" distL="114300" distR="114300" simplePos="0" relativeHeight="251657728" behindDoc="0" locked="0" layoutInCell="1" allowOverlap="1">
          <wp:simplePos x="0" y="0"/>
          <wp:positionH relativeFrom="column">
            <wp:posOffset>3175</wp:posOffset>
          </wp:positionH>
          <wp:positionV relativeFrom="paragraph">
            <wp:posOffset>-1000125</wp:posOffset>
          </wp:positionV>
          <wp:extent cx="6090285" cy="1466215"/>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28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640" w:rsidRDefault="00600640" w:rsidP="00117712">
      <w:pPr>
        <w:spacing w:after="0" w:line="240" w:lineRule="auto"/>
      </w:pPr>
      <w:r>
        <w:separator/>
      </w:r>
    </w:p>
  </w:footnote>
  <w:footnote w:type="continuationSeparator" w:id="0">
    <w:p w:rsidR="00600640" w:rsidRDefault="00600640"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6CA" w:rsidRPr="000B476F" w:rsidRDefault="00DF0FD3" w:rsidP="000B476F">
    <w:pPr>
      <w:pStyle w:val="a4"/>
      <w:rPr>
        <w:noProof/>
        <w:lang w:eastAsia="el-GR"/>
      </w:rPr>
    </w:pPr>
    <w:r>
      <w:rPr>
        <w:noProof/>
        <w:lang w:val="en-US" w:eastAsia="el-GR"/>
      </w:rPr>
      <w:t xml:space="preserve">              </w:t>
    </w:r>
    <w:r w:rsidR="00DE7EA7">
      <w:rPr>
        <w:noProof/>
        <w:lang w:eastAsia="el-GR"/>
      </w:rPr>
      <w:drawing>
        <wp:inline distT="0" distB="0" distL="0" distR="0">
          <wp:extent cx="409575" cy="3810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p>
  <w:p w:rsidR="00EB26CA" w:rsidRDefault="00EB26CA" w:rsidP="000B476F">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EB26CA" w:rsidRPr="00BD56E2" w:rsidRDefault="00EB26CA">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EB26CA" w:rsidRPr="00EB26CA" w:rsidRDefault="00EB26CA">
    <w:pPr>
      <w:pStyle w:val="a4"/>
      <w:rPr>
        <w:noProof/>
        <w:lang w:val="en-GB" w:eastAsia="el-GR"/>
      </w:rPr>
    </w:pPr>
    <w:r>
      <w:rPr>
        <w:noProof/>
        <w:lang w:eastAsia="el-GR"/>
      </w:rPr>
      <w:tab/>
    </w:r>
    <w:r w:rsidRPr="007D3CFF">
      <w:rPr>
        <w:noProof/>
        <w:lang w:eastAsia="el-GR"/>
      </w:rPr>
      <w:t xml:space="preserve">                                                                             </w:t>
    </w:r>
    <w:r w:rsidR="00A93D6B">
      <w:rPr>
        <w:noProof/>
        <w:lang w:eastAsia="el-GR"/>
      </w:rPr>
      <w:t xml:space="preserve">                           </w:t>
    </w:r>
    <w:r>
      <w:rPr>
        <w:noProof/>
        <w:lang w:eastAsia="el-GR"/>
      </w:rPr>
      <w:t>Εφορεία</w:t>
    </w:r>
    <w:r w:rsidRPr="00EB26CA">
      <w:rPr>
        <w:noProof/>
        <w:lang w:val="en-GB" w:eastAsia="el-GR"/>
      </w:rPr>
      <w:t xml:space="preserve"> </w:t>
    </w:r>
    <w:r>
      <w:rPr>
        <w:noProof/>
        <w:lang w:eastAsia="el-GR"/>
      </w:rPr>
      <w:t>Αρχαιοτήτων</w:t>
    </w:r>
    <w:r w:rsidRPr="00EB26CA">
      <w:rPr>
        <w:noProof/>
        <w:lang w:val="en-GB" w:eastAsia="el-GR"/>
      </w:rPr>
      <w:t xml:space="preserve"> </w:t>
    </w:r>
    <w:r>
      <w:rPr>
        <w:noProof/>
        <w:lang w:eastAsia="el-GR"/>
      </w:rPr>
      <w:t>Χίου</w:t>
    </w:r>
  </w:p>
  <w:p w:rsidR="00EB26CA" w:rsidRPr="00BD56E2" w:rsidRDefault="00EB26CA">
    <w:pPr>
      <w:pStyle w:val="a4"/>
      <w:rPr>
        <w:noProof/>
        <w:lang w:val="en-US" w:eastAsia="el-G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B476F"/>
    <w:rsid w:val="000C15E1"/>
    <w:rsid w:val="00117712"/>
    <w:rsid w:val="00194F3A"/>
    <w:rsid w:val="001C4BFB"/>
    <w:rsid w:val="002363BD"/>
    <w:rsid w:val="00263B24"/>
    <w:rsid w:val="002A00DC"/>
    <w:rsid w:val="002D74F8"/>
    <w:rsid w:val="00333C47"/>
    <w:rsid w:val="00360DEC"/>
    <w:rsid w:val="003C3459"/>
    <w:rsid w:val="003D0ADD"/>
    <w:rsid w:val="004008DD"/>
    <w:rsid w:val="00447B09"/>
    <w:rsid w:val="00495695"/>
    <w:rsid w:val="004A2EBA"/>
    <w:rsid w:val="004C54C5"/>
    <w:rsid w:val="004D67CD"/>
    <w:rsid w:val="00507C76"/>
    <w:rsid w:val="00524F87"/>
    <w:rsid w:val="005439AA"/>
    <w:rsid w:val="00552270"/>
    <w:rsid w:val="005B11B5"/>
    <w:rsid w:val="00600640"/>
    <w:rsid w:val="00606F91"/>
    <w:rsid w:val="006926EA"/>
    <w:rsid w:val="006C3441"/>
    <w:rsid w:val="006D289F"/>
    <w:rsid w:val="007066BC"/>
    <w:rsid w:val="00712076"/>
    <w:rsid w:val="00734046"/>
    <w:rsid w:val="00773592"/>
    <w:rsid w:val="007C56C0"/>
    <w:rsid w:val="007D3CFF"/>
    <w:rsid w:val="00810394"/>
    <w:rsid w:val="00850A99"/>
    <w:rsid w:val="00897E01"/>
    <w:rsid w:val="008D70ED"/>
    <w:rsid w:val="00953AF8"/>
    <w:rsid w:val="00A23059"/>
    <w:rsid w:val="00A46427"/>
    <w:rsid w:val="00A57243"/>
    <w:rsid w:val="00A616EF"/>
    <w:rsid w:val="00A93D6B"/>
    <w:rsid w:val="00AC784C"/>
    <w:rsid w:val="00B00C16"/>
    <w:rsid w:val="00BD56E2"/>
    <w:rsid w:val="00BD7161"/>
    <w:rsid w:val="00C157BA"/>
    <w:rsid w:val="00C22AF9"/>
    <w:rsid w:val="00C578F4"/>
    <w:rsid w:val="00D00078"/>
    <w:rsid w:val="00DB1257"/>
    <w:rsid w:val="00DE7EA7"/>
    <w:rsid w:val="00DF0FD3"/>
    <w:rsid w:val="00E81B6F"/>
    <w:rsid w:val="00E95C14"/>
    <w:rsid w:val="00EB26CA"/>
    <w:rsid w:val="00EB7394"/>
    <w:rsid w:val="00EC70DF"/>
    <w:rsid w:val="00EF36E6"/>
    <w:rsid w:val="00F20F86"/>
    <w:rsid w:val="00F324A0"/>
    <w:rsid w:val="00F7656F"/>
    <w:rsid w:val="00FC68A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9FD037E6-1A10-44E0-AA37-75945F8C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243"/>
    <w:pPr>
      <w:spacing w:after="160" w:line="259" w:lineRule="auto"/>
    </w:pPr>
    <w:rPr>
      <w:rFonts w:eastAsia="Times New Roman"/>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link w:val="a3"/>
    <w:semiHidden/>
    <w:locked/>
    <w:rsid w:val="00552270"/>
    <w:rPr>
      <w:rFonts w:ascii="Segoe UI" w:hAnsi="Segoe UI" w:cs="Segoe UI"/>
      <w:sz w:val="18"/>
      <w:szCs w:val="18"/>
    </w:rPr>
  </w:style>
  <w:style w:type="character" w:styleId="-">
    <w:name w:val="Hyperlink"/>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link w:val="a5"/>
    <w:locked/>
    <w:rsid w:val="00117712"/>
    <w:rPr>
      <w:rFonts w:cs="Times New Roman"/>
    </w:rPr>
  </w:style>
  <w:style w:type="paragraph" w:customStyle="1" w:styleId="Default">
    <w:name w:val="Default"/>
    <w:rsid w:val="008D70ED"/>
    <w:pPr>
      <w:autoSpaceDE w:val="0"/>
      <w:autoSpaceDN w:val="0"/>
      <w:adjustRightInd w:val="0"/>
    </w:pPr>
    <w:rPr>
      <w:rFonts w:ascii="Tahoma" w:eastAsia="Times New Roman" w:hAnsi="Tahoma" w:cs="Tahoma"/>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BC3C88-E825-418A-B0B7-6E9105E16564}"/>
</file>

<file path=customXml/itemProps2.xml><?xml version="1.0" encoding="utf-8"?>
<ds:datastoreItem xmlns:ds="http://schemas.openxmlformats.org/officeDocument/2006/customXml" ds:itemID="{31A60271-98A5-4DE6-AC86-C1ACD2BA15A8}"/>
</file>

<file path=customXml/itemProps3.xml><?xml version="1.0" encoding="utf-8"?>
<ds:datastoreItem xmlns:ds="http://schemas.openxmlformats.org/officeDocument/2006/customXml" ds:itemID="{758CD5E8-5065-4DA1-B336-03495FE9EA2A}"/>
</file>

<file path=docProps/app.xml><?xml version="1.0" encoding="utf-8"?>
<Properties xmlns="http://schemas.openxmlformats.org/officeDocument/2006/extended-properties" xmlns:vt="http://schemas.openxmlformats.org/officeDocument/2006/docPropsVTypes">
  <Template>Normal</Template>
  <TotalTime>1</TotalTime>
  <Pages>3</Pages>
  <Words>241</Words>
  <Characters>1306</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 </vt:lpstr>
    </vt:vector>
  </TitlesOfParts>
  <Company>Hewlett-Packard Company</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Thanos Giannopoulos</cp:lastModifiedBy>
  <cp:revision>2</cp:revision>
  <cp:lastPrinted>2018-01-11T07:15:00Z</cp:lastPrinted>
  <dcterms:created xsi:type="dcterms:W3CDTF">2018-03-06T16:01:00Z</dcterms:created>
  <dcterms:modified xsi:type="dcterms:W3CDTF">2018-03-06T16:01:00Z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